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C1A75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新产品挂网试运行申请注意事项</w:t>
      </w:r>
    </w:p>
    <w:p w14:paraId="2B138C3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lang w:val="en-US" w:eastAsia="zh-CN"/>
        </w:rPr>
      </w:pPr>
    </w:p>
    <w:p w14:paraId="5B86B183">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outlineLvl w:val="0"/>
        <w:rPr>
          <w:rFonts w:hint="default" w:ascii="黑体" w:hAnsi="黑体" w:eastAsia="黑体" w:cs="黑体"/>
          <w:b/>
          <w:bCs/>
          <w:lang w:val="en-US" w:eastAsia="zh-CN"/>
        </w:rPr>
      </w:pPr>
      <w:r>
        <w:rPr>
          <w:rFonts w:hint="eastAsia" w:ascii="黑体" w:hAnsi="黑体" w:eastAsia="黑体" w:cs="黑体"/>
          <w:b/>
          <w:bCs/>
          <w:lang w:val="en-US" w:eastAsia="zh-CN"/>
        </w:rPr>
        <w:t>必要条件</w:t>
      </w:r>
    </w:p>
    <w:p w14:paraId="15862B2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cs="仿宋"/>
          <w:lang w:val="en-US" w:eastAsia="zh-CN"/>
        </w:rPr>
      </w:pPr>
      <w:r>
        <w:rPr>
          <w:rFonts w:hint="eastAsia" w:ascii="仿宋" w:hAnsi="仿宋" w:eastAsia="仿宋" w:cs="仿宋"/>
          <w:lang w:val="en-US" w:eastAsia="zh-CN"/>
        </w:rPr>
        <w:t>根据</w:t>
      </w:r>
      <w:r>
        <w:rPr>
          <w:rFonts w:hint="eastAsia" w:ascii="仿宋" w:hAnsi="仿宋" w:cs="仿宋"/>
          <w:lang w:val="en-US" w:eastAsia="zh-CN"/>
        </w:rPr>
        <w:t>国家规定及公司要求，新产品申报挂网试运行应具备以下条件：</w:t>
      </w:r>
    </w:p>
    <w:p w14:paraId="6E4F08C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一）通过鉴定。中国机械工业联合会、中国电力企业联合会、中国电机工程学会等行业协会，省级政府机构或其认可的省级行业协会组织（省属机械工业联合会、省属电机工程学会、省属软件行业协会等）出具的技术、成果、产品鉴定或软件产品证书均认定为有效鉴定报告。对安全生产影响较小的工器具类新技术产品，可不开展鉴定。</w:t>
      </w:r>
    </w:p>
    <w:p w14:paraId="18898F6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（二）具备CMA、CNAS等资质的检测机构出具的型式试验报告，对于暂无型式试验标准的，应提供含关键检测项的委托试验报告。</w:t>
      </w:r>
    </w:p>
    <w:p w14:paraId="73EA6C0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对安全生产影响较小的工器具类新产品应具备CMA、CNAS等资质的检测机构出具的试验报告，可不开展技术鉴定。</w:t>
      </w:r>
    </w:p>
    <w:p w14:paraId="7A4220FB">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outlineLvl w:val="0"/>
        <w:rPr>
          <w:rFonts w:hint="default" w:ascii="黑体" w:hAnsi="黑体" w:eastAsia="黑体" w:cs="黑体"/>
          <w:b/>
          <w:bCs/>
          <w:lang w:val="en-US" w:eastAsia="zh-CN"/>
        </w:rPr>
      </w:pPr>
      <w:r>
        <w:rPr>
          <w:rFonts w:hint="eastAsia" w:ascii="黑体" w:hAnsi="黑体" w:eastAsia="黑体" w:cs="黑体"/>
          <w:b/>
          <w:bCs/>
          <w:lang w:val="en-US" w:eastAsia="zh-CN"/>
        </w:rPr>
        <w:t>新产品挂网试运行费用管理</w:t>
      </w:r>
    </w:p>
    <w:p w14:paraId="0A91CC1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（一）新产品挂网试运行实施单位和申请方是发生挂网试运行费用的主体，有关费用应参照国家、行业或企业标准确定，费用标准示例见下表。</w:t>
      </w:r>
    </w:p>
    <w:p w14:paraId="566326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center"/>
        <w:textAlignment w:val="auto"/>
        <w:rPr>
          <w:rFonts w:hint="eastAsia" w:ascii="仿宋" w:hAnsi="仿宋" w:eastAsia="仿宋" w:cs="仿宋"/>
          <w:sz w:val="28"/>
          <w:szCs w:val="22"/>
          <w:lang w:val="en-US" w:eastAsia="zh-CN"/>
        </w:rPr>
      </w:pPr>
      <w:r>
        <w:rPr>
          <w:rFonts w:hint="eastAsia" w:ascii="仿宋" w:hAnsi="仿宋" w:cs="仿宋"/>
          <w:sz w:val="28"/>
          <w:szCs w:val="22"/>
          <w:lang w:val="en-US" w:eastAsia="zh-CN"/>
        </w:rPr>
        <w:t xml:space="preserve">表1 </w:t>
      </w:r>
      <w:r>
        <w:rPr>
          <w:rFonts w:hint="eastAsia" w:ascii="仿宋" w:hAnsi="仿宋" w:eastAsia="仿宋" w:cs="仿宋"/>
          <w:sz w:val="28"/>
          <w:szCs w:val="22"/>
          <w:lang w:val="en-US" w:eastAsia="zh-CN"/>
        </w:rPr>
        <w:t>新产品（技术）挂网试运行费用项目示例表</w:t>
      </w:r>
    </w:p>
    <w:tbl>
      <w:tblPr>
        <w:tblStyle w:val="9"/>
        <w:tblW w:w="95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08"/>
        <w:gridCol w:w="1168"/>
        <w:gridCol w:w="982"/>
        <w:gridCol w:w="982"/>
        <w:gridCol w:w="982"/>
        <w:gridCol w:w="2384"/>
        <w:gridCol w:w="2400"/>
      </w:tblGrid>
      <w:tr w14:paraId="3B6A1D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08" w:type="dxa"/>
            <w:noWrap w:val="0"/>
            <w:vAlign w:val="center"/>
          </w:tcPr>
          <w:p w14:paraId="28A98367">
            <w:pPr>
              <w:spacing w:line="288" w:lineRule="auto"/>
              <w:jc w:val="cente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序号</w:t>
            </w:r>
          </w:p>
        </w:tc>
        <w:tc>
          <w:tcPr>
            <w:tcW w:w="1168" w:type="dxa"/>
            <w:noWrap w:val="0"/>
            <w:vAlign w:val="top"/>
          </w:tcPr>
          <w:p w14:paraId="5D475515">
            <w:pPr>
              <w:spacing w:line="288" w:lineRule="auto"/>
              <w:jc w:val="cente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项目名称</w:t>
            </w:r>
          </w:p>
        </w:tc>
        <w:tc>
          <w:tcPr>
            <w:tcW w:w="982" w:type="dxa"/>
            <w:tcBorders>
              <w:right w:val="single" w:color="auto" w:sz="4" w:space="0"/>
            </w:tcBorders>
            <w:noWrap w:val="0"/>
            <w:vAlign w:val="top"/>
          </w:tcPr>
          <w:p w14:paraId="791A7FEC">
            <w:pPr>
              <w:spacing w:line="288" w:lineRule="auto"/>
              <w:jc w:val="cente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收费部门</w:t>
            </w:r>
          </w:p>
        </w:tc>
        <w:tc>
          <w:tcPr>
            <w:tcW w:w="982" w:type="dxa"/>
            <w:tcBorders>
              <w:left w:val="single" w:color="auto" w:sz="4" w:space="0"/>
            </w:tcBorders>
            <w:noWrap w:val="0"/>
            <w:vAlign w:val="top"/>
          </w:tcPr>
          <w:p w14:paraId="078963E2">
            <w:pPr>
              <w:spacing w:line="288" w:lineRule="auto"/>
              <w:jc w:val="cente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缴费部门</w:t>
            </w:r>
          </w:p>
        </w:tc>
        <w:tc>
          <w:tcPr>
            <w:tcW w:w="982" w:type="dxa"/>
            <w:noWrap w:val="0"/>
            <w:vAlign w:val="top"/>
          </w:tcPr>
          <w:p w14:paraId="6595AB0D">
            <w:pPr>
              <w:spacing w:line="288" w:lineRule="auto"/>
              <w:jc w:val="cente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缴费时间</w:t>
            </w:r>
          </w:p>
        </w:tc>
        <w:tc>
          <w:tcPr>
            <w:tcW w:w="2384" w:type="dxa"/>
            <w:noWrap w:val="0"/>
            <w:vAlign w:val="top"/>
          </w:tcPr>
          <w:p w14:paraId="1AF4C3FA">
            <w:pPr>
              <w:tabs>
                <w:tab w:val="center" w:pos="1228"/>
                <w:tab w:val="right" w:pos="2456"/>
              </w:tabs>
              <w:spacing w:line="288" w:lineRule="auto"/>
              <w:jc w:val="cente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额度依据</w:t>
            </w:r>
          </w:p>
        </w:tc>
        <w:tc>
          <w:tcPr>
            <w:tcW w:w="2400" w:type="dxa"/>
            <w:noWrap w:val="0"/>
            <w:vAlign w:val="top"/>
          </w:tcPr>
          <w:p w14:paraId="483B6052">
            <w:pPr>
              <w:tabs>
                <w:tab w:val="center" w:pos="1228"/>
                <w:tab w:val="right" w:pos="2456"/>
              </w:tabs>
              <w:spacing w:line="288" w:lineRule="auto"/>
              <w:jc w:val="center"/>
              <w:rPr>
                <w:rFonts w:ascii="仿宋_GB2312" w:hAnsi="Times New Roman" w:eastAsia="仿宋_GB2312" w:cs="Times New Roman"/>
                <w:b/>
                <w:sz w:val="24"/>
                <w:szCs w:val="22"/>
              </w:rPr>
            </w:pPr>
            <w:r>
              <w:rPr>
                <w:rFonts w:hint="eastAsia" w:ascii="仿宋_GB2312" w:hAnsi="Times New Roman" w:eastAsia="仿宋_GB2312" w:cs="Times New Roman"/>
                <w:b/>
                <w:sz w:val="24"/>
                <w:szCs w:val="22"/>
              </w:rPr>
              <w:t>备注</w:t>
            </w:r>
          </w:p>
        </w:tc>
      </w:tr>
      <w:tr w14:paraId="2F07F4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08" w:type="dxa"/>
            <w:noWrap w:val="0"/>
            <w:vAlign w:val="center"/>
          </w:tcPr>
          <w:p w14:paraId="0857D7E9">
            <w:pPr>
              <w:spacing w:line="288" w:lineRule="auto"/>
              <w:jc w:val="cente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1</w:t>
            </w:r>
          </w:p>
        </w:tc>
        <w:tc>
          <w:tcPr>
            <w:tcW w:w="8898" w:type="dxa"/>
            <w:gridSpan w:val="6"/>
            <w:noWrap w:val="0"/>
            <w:vAlign w:val="center"/>
          </w:tcPr>
          <w:p w14:paraId="00B59285">
            <w:pPr>
              <w:jc w:val="left"/>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产品费</w:t>
            </w:r>
          </w:p>
        </w:tc>
      </w:tr>
      <w:tr w14:paraId="634C6D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5" w:hRule="atLeast"/>
          <w:jc w:val="center"/>
        </w:trPr>
        <w:tc>
          <w:tcPr>
            <w:tcW w:w="608" w:type="dxa"/>
            <w:noWrap w:val="0"/>
            <w:vAlign w:val="center"/>
          </w:tcPr>
          <w:p w14:paraId="1C0C95AC">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1.1</w:t>
            </w:r>
          </w:p>
        </w:tc>
        <w:tc>
          <w:tcPr>
            <w:tcW w:w="1168" w:type="dxa"/>
            <w:noWrap w:val="0"/>
            <w:vAlign w:val="center"/>
          </w:tcPr>
          <w:p w14:paraId="16C737A1">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安装费</w:t>
            </w:r>
          </w:p>
        </w:tc>
        <w:tc>
          <w:tcPr>
            <w:tcW w:w="982" w:type="dxa"/>
            <w:tcBorders>
              <w:right w:val="single" w:color="auto" w:sz="4" w:space="0"/>
            </w:tcBorders>
            <w:noWrap w:val="0"/>
            <w:vAlign w:val="center"/>
          </w:tcPr>
          <w:p w14:paraId="679AB9CA">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实施单位</w:t>
            </w:r>
          </w:p>
        </w:tc>
        <w:tc>
          <w:tcPr>
            <w:tcW w:w="982" w:type="dxa"/>
            <w:tcBorders>
              <w:left w:val="single" w:color="auto" w:sz="4" w:space="0"/>
            </w:tcBorders>
            <w:noWrap w:val="0"/>
            <w:vAlign w:val="center"/>
          </w:tcPr>
          <w:p w14:paraId="0EC1E709">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申请方</w:t>
            </w:r>
          </w:p>
        </w:tc>
        <w:tc>
          <w:tcPr>
            <w:tcW w:w="982" w:type="dxa"/>
            <w:noWrap w:val="0"/>
            <w:vAlign w:val="center"/>
          </w:tcPr>
          <w:p w14:paraId="0C0A2B22">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试运行前</w:t>
            </w:r>
          </w:p>
        </w:tc>
        <w:tc>
          <w:tcPr>
            <w:tcW w:w="2384" w:type="dxa"/>
            <w:noWrap w:val="0"/>
            <w:vAlign w:val="center"/>
          </w:tcPr>
          <w:p w14:paraId="45EADD75">
            <w:pPr>
              <w:spacing w:line="288" w:lineRule="auto"/>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依据项目实际预算情况确定</w:t>
            </w:r>
          </w:p>
        </w:tc>
        <w:tc>
          <w:tcPr>
            <w:tcW w:w="2400" w:type="dxa"/>
            <w:noWrap w:val="0"/>
            <w:vAlign w:val="top"/>
          </w:tcPr>
          <w:p w14:paraId="29353274">
            <w:pPr>
              <w:spacing w:line="288" w:lineRule="auto"/>
              <w:rPr>
                <w:rFonts w:hint="eastAsia" w:ascii="仿宋_GB2312" w:hAnsi="Times New Roman" w:eastAsia="仿宋_GB2312" w:cs="Times New Roman"/>
                <w:sz w:val="24"/>
                <w:szCs w:val="22"/>
              </w:rPr>
            </w:pPr>
          </w:p>
        </w:tc>
      </w:tr>
      <w:tr w14:paraId="1FA0E0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7" w:hRule="atLeast"/>
          <w:jc w:val="center"/>
        </w:trPr>
        <w:tc>
          <w:tcPr>
            <w:tcW w:w="608" w:type="dxa"/>
            <w:noWrap w:val="0"/>
            <w:vAlign w:val="center"/>
          </w:tcPr>
          <w:p w14:paraId="3CE50A78">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1.2</w:t>
            </w:r>
          </w:p>
        </w:tc>
        <w:tc>
          <w:tcPr>
            <w:tcW w:w="1168" w:type="dxa"/>
            <w:noWrap w:val="0"/>
            <w:vAlign w:val="center"/>
          </w:tcPr>
          <w:p w14:paraId="77512075">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调试费</w:t>
            </w:r>
          </w:p>
        </w:tc>
        <w:tc>
          <w:tcPr>
            <w:tcW w:w="982" w:type="dxa"/>
            <w:tcBorders>
              <w:right w:val="single" w:color="auto" w:sz="4" w:space="0"/>
            </w:tcBorders>
            <w:noWrap w:val="0"/>
            <w:vAlign w:val="center"/>
          </w:tcPr>
          <w:p w14:paraId="241F451E">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实施单位</w:t>
            </w:r>
          </w:p>
        </w:tc>
        <w:tc>
          <w:tcPr>
            <w:tcW w:w="982" w:type="dxa"/>
            <w:tcBorders>
              <w:left w:val="single" w:color="auto" w:sz="4" w:space="0"/>
            </w:tcBorders>
            <w:noWrap w:val="0"/>
            <w:vAlign w:val="center"/>
          </w:tcPr>
          <w:p w14:paraId="35F7E488">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申请方</w:t>
            </w:r>
          </w:p>
        </w:tc>
        <w:tc>
          <w:tcPr>
            <w:tcW w:w="982" w:type="dxa"/>
            <w:noWrap w:val="0"/>
            <w:vAlign w:val="center"/>
          </w:tcPr>
          <w:p w14:paraId="4E678EC3">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试运行前</w:t>
            </w:r>
          </w:p>
        </w:tc>
        <w:tc>
          <w:tcPr>
            <w:tcW w:w="2384" w:type="dxa"/>
            <w:noWrap w:val="0"/>
            <w:vAlign w:val="center"/>
          </w:tcPr>
          <w:p w14:paraId="59261F97">
            <w:pPr>
              <w:spacing w:line="288" w:lineRule="auto"/>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《电力建设工程预算定额》</w:t>
            </w:r>
          </w:p>
        </w:tc>
        <w:tc>
          <w:tcPr>
            <w:tcW w:w="2400" w:type="dxa"/>
            <w:noWrap w:val="0"/>
            <w:vAlign w:val="top"/>
          </w:tcPr>
          <w:p w14:paraId="4565A686">
            <w:pPr>
              <w:spacing w:line="288" w:lineRule="auto"/>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按单体调试、分系统调试、整套自动调试等分类别计算</w:t>
            </w:r>
          </w:p>
        </w:tc>
      </w:tr>
      <w:tr w14:paraId="75AC8E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7" w:hRule="atLeast"/>
          <w:jc w:val="center"/>
        </w:trPr>
        <w:tc>
          <w:tcPr>
            <w:tcW w:w="608" w:type="dxa"/>
            <w:noWrap w:val="0"/>
            <w:vAlign w:val="center"/>
          </w:tcPr>
          <w:p w14:paraId="333DF617">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1.3</w:t>
            </w:r>
          </w:p>
        </w:tc>
        <w:tc>
          <w:tcPr>
            <w:tcW w:w="1168" w:type="dxa"/>
            <w:noWrap w:val="0"/>
            <w:vAlign w:val="center"/>
          </w:tcPr>
          <w:p w14:paraId="51D192D6">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运行检修费</w:t>
            </w:r>
          </w:p>
        </w:tc>
        <w:tc>
          <w:tcPr>
            <w:tcW w:w="982" w:type="dxa"/>
            <w:tcBorders>
              <w:right w:val="single" w:color="auto" w:sz="4" w:space="0"/>
            </w:tcBorders>
            <w:noWrap w:val="0"/>
            <w:vAlign w:val="center"/>
          </w:tcPr>
          <w:p w14:paraId="7C15B1ED">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实施单位</w:t>
            </w:r>
          </w:p>
        </w:tc>
        <w:tc>
          <w:tcPr>
            <w:tcW w:w="982" w:type="dxa"/>
            <w:tcBorders>
              <w:left w:val="single" w:color="auto" w:sz="4" w:space="0"/>
            </w:tcBorders>
            <w:noWrap w:val="0"/>
            <w:vAlign w:val="center"/>
          </w:tcPr>
          <w:p w14:paraId="5BEAD451">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申请方</w:t>
            </w:r>
          </w:p>
        </w:tc>
        <w:tc>
          <w:tcPr>
            <w:tcW w:w="982" w:type="dxa"/>
            <w:noWrap w:val="0"/>
            <w:vAlign w:val="center"/>
          </w:tcPr>
          <w:p w14:paraId="23DB7E20">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试运行前</w:t>
            </w:r>
          </w:p>
        </w:tc>
        <w:tc>
          <w:tcPr>
            <w:tcW w:w="2384" w:type="dxa"/>
            <w:noWrap w:val="0"/>
            <w:vAlign w:val="center"/>
          </w:tcPr>
          <w:p w14:paraId="792613C0">
            <w:pPr>
              <w:spacing w:line="288" w:lineRule="auto"/>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《南方电网公司生产项目准入及预算标准》</w:t>
            </w:r>
          </w:p>
        </w:tc>
        <w:tc>
          <w:tcPr>
            <w:tcW w:w="2400" w:type="dxa"/>
            <w:noWrap w:val="0"/>
            <w:vAlign w:val="top"/>
          </w:tcPr>
          <w:p w14:paraId="584D3D5A">
            <w:pPr>
              <w:spacing w:line="288" w:lineRule="auto"/>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综合考虑输变电、线路等各类不同性质工程进行计算</w:t>
            </w:r>
          </w:p>
        </w:tc>
      </w:tr>
      <w:tr w14:paraId="67B534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7" w:hRule="atLeast"/>
          <w:jc w:val="center"/>
        </w:trPr>
        <w:tc>
          <w:tcPr>
            <w:tcW w:w="608" w:type="dxa"/>
            <w:noWrap w:val="0"/>
            <w:vAlign w:val="center"/>
          </w:tcPr>
          <w:p w14:paraId="2BE0EC94">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1.4</w:t>
            </w:r>
          </w:p>
        </w:tc>
        <w:tc>
          <w:tcPr>
            <w:tcW w:w="1168" w:type="dxa"/>
            <w:noWrap w:val="0"/>
            <w:vAlign w:val="center"/>
          </w:tcPr>
          <w:p w14:paraId="577AB191">
            <w:pPr>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拆除费</w:t>
            </w:r>
          </w:p>
        </w:tc>
        <w:tc>
          <w:tcPr>
            <w:tcW w:w="982" w:type="dxa"/>
            <w:tcBorders>
              <w:right w:val="single" w:color="auto" w:sz="4" w:space="0"/>
            </w:tcBorders>
            <w:noWrap w:val="0"/>
            <w:vAlign w:val="center"/>
          </w:tcPr>
          <w:p w14:paraId="42070986">
            <w:pPr>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实施单位</w:t>
            </w:r>
          </w:p>
        </w:tc>
        <w:tc>
          <w:tcPr>
            <w:tcW w:w="982" w:type="dxa"/>
            <w:tcBorders>
              <w:left w:val="single" w:color="auto" w:sz="4" w:space="0"/>
            </w:tcBorders>
            <w:noWrap w:val="0"/>
            <w:vAlign w:val="center"/>
          </w:tcPr>
          <w:p w14:paraId="316906EF">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申请方</w:t>
            </w:r>
          </w:p>
        </w:tc>
        <w:tc>
          <w:tcPr>
            <w:tcW w:w="982" w:type="dxa"/>
            <w:noWrap w:val="0"/>
            <w:vAlign w:val="center"/>
          </w:tcPr>
          <w:p w14:paraId="34F6C4A7">
            <w:pPr>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试运行后</w:t>
            </w:r>
          </w:p>
        </w:tc>
        <w:tc>
          <w:tcPr>
            <w:tcW w:w="2384" w:type="dxa"/>
            <w:noWrap w:val="0"/>
            <w:vAlign w:val="center"/>
          </w:tcPr>
          <w:p w14:paraId="0DF7449B">
            <w:pP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《电力建设工程预算定额》</w:t>
            </w:r>
          </w:p>
        </w:tc>
        <w:tc>
          <w:tcPr>
            <w:tcW w:w="2400" w:type="dxa"/>
            <w:noWrap w:val="0"/>
            <w:vAlign w:val="top"/>
          </w:tcPr>
          <w:p w14:paraId="46530E01">
            <w:pP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试运行后未批准同意保留使用的产品，由新产品（技术）申请方承担拆除费用</w:t>
            </w:r>
          </w:p>
        </w:tc>
      </w:tr>
      <w:tr w14:paraId="592745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08" w:type="dxa"/>
            <w:noWrap w:val="0"/>
            <w:vAlign w:val="center"/>
          </w:tcPr>
          <w:p w14:paraId="375DA798">
            <w:pPr>
              <w:spacing w:line="288" w:lineRule="auto"/>
              <w:jc w:val="cente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2</w:t>
            </w:r>
          </w:p>
        </w:tc>
        <w:tc>
          <w:tcPr>
            <w:tcW w:w="8898" w:type="dxa"/>
            <w:gridSpan w:val="6"/>
            <w:noWrap w:val="0"/>
            <w:vAlign w:val="center"/>
          </w:tcPr>
          <w:p w14:paraId="02157E60">
            <w:pP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商业保险费</w:t>
            </w:r>
          </w:p>
        </w:tc>
      </w:tr>
      <w:tr w14:paraId="0A9F8E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5" w:hRule="atLeast"/>
          <w:jc w:val="center"/>
        </w:trPr>
        <w:tc>
          <w:tcPr>
            <w:tcW w:w="608" w:type="dxa"/>
            <w:noWrap w:val="0"/>
            <w:vAlign w:val="center"/>
          </w:tcPr>
          <w:p w14:paraId="63D948F0">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2.1</w:t>
            </w:r>
          </w:p>
        </w:tc>
        <w:tc>
          <w:tcPr>
            <w:tcW w:w="1168" w:type="dxa"/>
            <w:noWrap w:val="0"/>
            <w:vAlign w:val="center"/>
          </w:tcPr>
          <w:p w14:paraId="62A9CE10">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产品质量险</w:t>
            </w:r>
          </w:p>
        </w:tc>
        <w:tc>
          <w:tcPr>
            <w:tcW w:w="982" w:type="dxa"/>
            <w:tcBorders>
              <w:right w:val="single" w:color="auto" w:sz="4" w:space="0"/>
            </w:tcBorders>
            <w:noWrap w:val="0"/>
            <w:vAlign w:val="center"/>
          </w:tcPr>
          <w:p w14:paraId="6805A2C3">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实施单位</w:t>
            </w:r>
          </w:p>
        </w:tc>
        <w:tc>
          <w:tcPr>
            <w:tcW w:w="982" w:type="dxa"/>
            <w:tcBorders>
              <w:left w:val="single" w:color="auto" w:sz="4" w:space="0"/>
            </w:tcBorders>
            <w:noWrap w:val="0"/>
            <w:vAlign w:val="center"/>
          </w:tcPr>
          <w:p w14:paraId="57417AF4">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申请方</w:t>
            </w:r>
          </w:p>
        </w:tc>
        <w:tc>
          <w:tcPr>
            <w:tcW w:w="982" w:type="dxa"/>
            <w:noWrap w:val="0"/>
            <w:vAlign w:val="center"/>
          </w:tcPr>
          <w:p w14:paraId="09BB13D4">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试运行前</w:t>
            </w:r>
          </w:p>
        </w:tc>
        <w:tc>
          <w:tcPr>
            <w:tcW w:w="2384" w:type="dxa"/>
            <w:noWrap w:val="0"/>
            <w:vAlign w:val="center"/>
          </w:tcPr>
          <w:p w14:paraId="68222C9A">
            <w:pPr>
              <w:spacing w:line="288" w:lineRule="auto"/>
              <w:jc w:val="left"/>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投保额度原则上应按设备全款缴纳</w:t>
            </w:r>
          </w:p>
        </w:tc>
        <w:tc>
          <w:tcPr>
            <w:tcW w:w="2400" w:type="dxa"/>
            <w:noWrap w:val="0"/>
            <w:vAlign w:val="center"/>
          </w:tcPr>
          <w:p w14:paraId="5EA516AA">
            <w:pPr>
              <w:spacing w:line="288" w:lineRule="auto"/>
              <w:jc w:val="center"/>
              <w:rPr>
                <w:rFonts w:hint="eastAsia" w:ascii="仿宋_GB2312" w:hAnsi="Times New Roman" w:eastAsia="仿宋_GB2312" w:cs="Times New Roman"/>
                <w:sz w:val="24"/>
                <w:szCs w:val="22"/>
              </w:rPr>
            </w:pPr>
          </w:p>
        </w:tc>
      </w:tr>
      <w:tr w14:paraId="6CF87C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8" w:hRule="atLeast"/>
          <w:jc w:val="center"/>
        </w:trPr>
        <w:tc>
          <w:tcPr>
            <w:tcW w:w="608" w:type="dxa"/>
            <w:noWrap w:val="0"/>
            <w:vAlign w:val="center"/>
          </w:tcPr>
          <w:p w14:paraId="6B1A49FA">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2.2</w:t>
            </w:r>
          </w:p>
        </w:tc>
        <w:tc>
          <w:tcPr>
            <w:tcW w:w="1168" w:type="dxa"/>
            <w:noWrap w:val="0"/>
            <w:vAlign w:val="center"/>
          </w:tcPr>
          <w:p w14:paraId="72E0AEAC">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产品责任险</w:t>
            </w:r>
          </w:p>
        </w:tc>
        <w:tc>
          <w:tcPr>
            <w:tcW w:w="982" w:type="dxa"/>
            <w:tcBorders>
              <w:right w:val="single" w:color="auto" w:sz="4" w:space="0"/>
            </w:tcBorders>
            <w:noWrap w:val="0"/>
            <w:vAlign w:val="center"/>
          </w:tcPr>
          <w:p w14:paraId="0580E79D">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实施单位</w:t>
            </w:r>
          </w:p>
        </w:tc>
        <w:tc>
          <w:tcPr>
            <w:tcW w:w="982" w:type="dxa"/>
            <w:tcBorders>
              <w:left w:val="single" w:color="auto" w:sz="4" w:space="0"/>
            </w:tcBorders>
            <w:noWrap w:val="0"/>
            <w:vAlign w:val="center"/>
          </w:tcPr>
          <w:p w14:paraId="3698EBBF">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申请方</w:t>
            </w:r>
          </w:p>
        </w:tc>
        <w:tc>
          <w:tcPr>
            <w:tcW w:w="982" w:type="dxa"/>
            <w:noWrap w:val="0"/>
            <w:vAlign w:val="center"/>
          </w:tcPr>
          <w:p w14:paraId="2AFBA306">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试运行前</w:t>
            </w:r>
          </w:p>
        </w:tc>
        <w:tc>
          <w:tcPr>
            <w:tcW w:w="2384" w:type="dxa"/>
            <w:noWrap w:val="0"/>
            <w:vAlign w:val="top"/>
          </w:tcPr>
          <w:p w14:paraId="1DE4F709">
            <w:pPr>
              <w:spacing w:line="288" w:lineRule="auto"/>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投保额度由挂网试运行实施单位进行评估确定</w:t>
            </w:r>
          </w:p>
        </w:tc>
        <w:tc>
          <w:tcPr>
            <w:tcW w:w="2400" w:type="dxa"/>
            <w:noWrap w:val="0"/>
            <w:vAlign w:val="center"/>
          </w:tcPr>
          <w:p w14:paraId="35A31111">
            <w:pPr>
              <w:spacing w:line="288" w:lineRule="auto"/>
              <w:jc w:val="center"/>
              <w:rPr>
                <w:rFonts w:hint="eastAsia" w:ascii="仿宋_GB2312" w:hAnsi="Times New Roman" w:eastAsia="仿宋_GB2312" w:cs="Times New Roman"/>
                <w:sz w:val="24"/>
                <w:szCs w:val="22"/>
              </w:rPr>
            </w:pPr>
          </w:p>
        </w:tc>
      </w:tr>
    </w:tbl>
    <w:p w14:paraId="25DB041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lang w:val="en-US" w:eastAsia="zh-CN"/>
        </w:rPr>
      </w:pPr>
    </w:p>
    <w:p w14:paraId="76DAC78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（二）新产品原则上由申请方无偿提供，对设备费用较高的所涉及安装费、调试费、拆除费等可由双方协商解决，其中需要申请方承担的费用（拆除费除外）需在项目试运行前交纳。</w:t>
      </w:r>
    </w:p>
    <w:p w14:paraId="129CDD3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三）新产品申请方应向实施单位交纳运行检修费，主要包括挂网试运行产品的日常检测、试验、检修和运行所产生的费用，额度依据《南方电网公司生产项目准入及预算标准》计算后确定，于挂网试运行前交纳。</w:t>
      </w:r>
    </w:p>
    <w:p w14:paraId="0F623B1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（四）新产品申请方应充分利用商业保险等经济手段转移新产品的使用风险。商业保险的赔偿限额应能充分保障事故造成的损失，基本险种应包括：</w:t>
      </w:r>
    </w:p>
    <w:p w14:paraId="5B200B9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1．产品质量险。用以对新产品本身的损毁进行保障（包括零部件的修复重置、产品更换退货及以上原因引起的运杂费等）。投保额度原则上应按设备全款缴纳。</w:t>
      </w:r>
    </w:p>
    <w:p w14:paraId="2185AB3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2．产品责任险。用以对新产品造成的第三者人身伤害或财产损失进行赔偿。投保期限需满足挂网试运行时间，投保额度由挂网试运行实施单位进行评估确定。</w:t>
      </w:r>
    </w:p>
    <w:p w14:paraId="7B0BF42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仿宋" w:hAnsi="仿宋" w:cs="仿宋"/>
          <w:lang w:val="en-US" w:eastAsia="zh-CN"/>
        </w:rPr>
      </w:pPr>
      <w:r>
        <w:rPr>
          <w:rFonts w:hint="eastAsia" w:ascii="仿宋" w:hAnsi="仿宋" w:eastAsia="仿宋" w:cs="仿宋"/>
          <w:lang w:val="en-US" w:eastAsia="zh-CN"/>
        </w:rPr>
        <w:t>（五）新产品挂网试运行费用按公司有关财务管理相关规定管理。</w:t>
      </w:r>
    </w:p>
    <w:p w14:paraId="692D1B3E">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outlineLvl w:val="0"/>
        <w:rPr>
          <w:rFonts w:hint="eastAsia" w:ascii="黑体" w:hAnsi="黑体" w:eastAsia="黑体" w:cs="黑体"/>
          <w:b/>
          <w:bCs/>
          <w:lang w:val="en-US" w:eastAsia="zh-CN"/>
        </w:rPr>
      </w:pPr>
      <w:r>
        <w:rPr>
          <w:rFonts w:hint="eastAsia" w:ascii="黑体" w:hAnsi="黑体" w:eastAsia="黑体" w:cs="黑体"/>
          <w:b/>
          <w:bCs/>
          <w:lang w:val="en-US" w:eastAsia="zh-CN"/>
        </w:rPr>
        <w:t>申报材料注意事项</w:t>
      </w:r>
    </w:p>
    <w:p w14:paraId="39081B1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 w:hAnsi="仿宋" w:cs="仿宋"/>
          <w:lang w:val="en-US" w:eastAsia="zh-CN"/>
        </w:rPr>
        <w:t>1.确定专业分组，在安全工器具、发变电、计量与用电、配电、输电、数字化、系统运行中选择一类作为产品的专业分组。供应链、基建等专业可选择其他，并备注建议专业分组。</w:t>
      </w:r>
    </w:p>
    <w:p w14:paraId="66A3FBD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cs="仿宋"/>
          <w:lang w:val="en-US" w:eastAsia="zh-CN"/>
        </w:rPr>
      </w:pPr>
      <w:r>
        <w:rPr>
          <w:rFonts w:hint="eastAsia" w:ascii="仿宋" w:hAnsi="仿宋" w:cs="仿宋"/>
          <w:lang w:val="en-US" w:eastAsia="zh-CN"/>
        </w:rPr>
        <w:t>2.确定新产品载体，新产品载体决定通过形式审查是否需要鉴定报告，在设备类，工器具类，软件类选择一类作为产品的新产品载体。</w:t>
      </w:r>
    </w:p>
    <w:p w14:paraId="3D10218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仿宋" w:hAnsi="仿宋" w:cs="仿宋"/>
          <w:lang w:val="en-US" w:eastAsia="zh-CN"/>
        </w:rPr>
        <w:t>2.确定新产品类型，在新技术产品，新型号、新版本产品中选择一类作为产品的新产品类型。</w:t>
      </w:r>
    </w:p>
    <w:p w14:paraId="599526B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 w:hAnsi="仿宋" w:cs="仿宋"/>
          <w:lang w:val="en-US" w:eastAsia="zh-CN"/>
        </w:rPr>
        <w:t>3.新技术（产品）挂网申报汇总表应对照表格中示例按要</w:t>
      </w:r>
      <w:bookmarkStart w:id="0" w:name="_GoBack"/>
      <w:bookmarkEnd w:id="0"/>
      <w:r>
        <w:rPr>
          <w:rFonts w:hint="eastAsia" w:ascii="仿宋" w:hAnsi="仿宋" w:cs="仿宋"/>
          <w:lang w:val="en-US" w:eastAsia="zh-CN"/>
        </w:rPr>
        <w:t>求准确填写。</w:t>
      </w:r>
    </w:p>
    <w:p w14:paraId="7F01D8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 w:hAnsi="仿宋" w:cs="仿宋"/>
          <w:lang w:val="en-US" w:eastAsia="zh-CN"/>
        </w:rPr>
      </w:pPr>
    </w:p>
    <w:p w14:paraId="23A4EF83">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594FF">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15F1F1">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E15F1F1">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30D6E1"/>
    <w:multiLevelType w:val="singleLevel"/>
    <w:tmpl w:val="7530D6E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0OTA5YzI2ZTE5MWMyYzJmNmU2MDVmNjk3ZDQyNGMifQ=="/>
  </w:docVars>
  <w:rsids>
    <w:rsidRoot w:val="13E80D2C"/>
    <w:rsid w:val="007867EF"/>
    <w:rsid w:val="01D92FDA"/>
    <w:rsid w:val="02B114AD"/>
    <w:rsid w:val="02E4164F"/>
    <w:rsid w:val="07F733B0"/>
    <w:rsid w:val="0A8305A2"/>
    <w:rsid w:val="0B7F6CE2"/>
    <w:rsid w:val="0D5E546D"/>
    <w:rsid w:val="0E4341C7"/>
    <w:rsid w:val="0EC11854"/>
    <w:rsid w:val="0ED6529E"/>
    <w:rsid w:val="0ED96B1A"/>
    <w:rsid w:val="10654B09"/>
    <w:rsid w:val="13387184"/>
    <w:rsid w:val="13E80D2C"/>
    <w:rsid w:val="15D63DC9"/>
    <w:rsid w:val="16A51251"/>
    <w:rsid w:val="1A1616E2"/>
    <w:rsid w:val="1ACF1D84"/>
    <w:rsid w:val="1AD07C7F"/>
    <w:rsid w:val="1DDF45E7"/>
    <w:rsid w:val="21585FC4"/>
    <w:rsid w:val="22B34776"/>
    <w:rsid w:val="22EA1B3B"/>
    <w:rsid w:val="24CC67BB"/>
    <w:rsid w:val="255C6A35"/>
    <w:rsid w:val="25F71CE2"/>
    <w:rsid w:val="266C0DEE"/>
    <w:rsid w:val="29EF0D58"/>
    <w:rsid w:val="2CF91D38"/>
    <w:rsid w:val="308C3DF2"/>
    <w:rsid w:val="3276154B"/>
    <w:rsid w:val="34264795"/>
    <w:rsid w:val="345D1478"/>
    <w:rsid w:val="348B4B08"/>
    <w:rsid w:val="374F79AA"/>
    <w:rsid w:val="38EC7CF6"/>
    <w:rsid w:val="39265BA3"/>
    <w:rsid w:val="3A4803B5"/>
    <w:rsid w:val="3ADC6F09"/>
    <w:rsid w:val="3CC7192C"/>
    <w:rsid w:val="3D2D6854"/>
    <w:rsid w:val="3EAB1E08"/>
    <w:rsid w:val="3F855E32"/>
    <w:rsid w:val="402F7480"/>
    <w:rsid w:val="41513996"/>
    <w:rsid w:val="4174097B"/>
    <w:rsid w:val="41AA39C1"/>
    <w:rsid w:val="424E2039"/>
    <w:rsid w:val="45FA34EB"/>
    <w:rsid w:val="46115F70"/>
    <w:rsid w:val="46160907"/>
    <w:rsid w:val="472F64E0"/>
    <w:rsid w:val="47D27AF6"/>
    <w:rsid w:val="49AB2AE7"/>
    <w:rsid w:val="4E645E00"/>
    <w:rsid w:val="5177128E"/>
    <w:rsid w:val="52E141D6"/>
    <w:rsid w:val="55627360"/>
    <w:rsid w:val="573818BD"/>
    <w:rsid w:val="586C3B4C"/>
    <w:rsid w:val="596D6420"/>
    <w:rsid w:val="5B601DC3"/>
    <w:rsid w:val="5F360BD6"/>
    <w:rsid w:val="620444E4"/>
    <w:rsid w:val="621F41B9"/>
    <w:rsid w:val="638E2378"/>
    <w:rsid w:val="648B2C26"/>
    <w:rsid w:val="679F10B6"/>
    <w:rsid w:val="68042900"/>
    <w:rsid w:val="688E7615"/>
    <w:rsid w:val="6B3B7C40"/>
    <w:rsid w:val="6B513D15"/>
    <w:rsid w:val="6BA71D81"/>
    <w:rsid w:val="6E3B0989"/>
    <w:rsid w:val="70943D3A"/>
    <w:rsid w:val="70AC4064"/>
    <w:rsid w:val="72DF7D38"/>
    <w:rsid w:val="73CA3C76"/>
    <w:rsid w:val="75EF4F1B"/>
    <w:rsid w:val="79C97153"/>
    <w:rsid w:val="7ABF0D10"/>
    <w:rsid w:val="7BB7631A"/>
    <w:rsid w:val="7D233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 w:asciiTheme="minorAscii" w:hAnsiTheme="minorAscii" w:cstheme="minorBidi"/>
      <w:kern w:val="2"/>
      <w:sz w:val="32"/>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5">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0">
    <w:name w:val="Default Paragraph Font"/>
    <w:autoRedefine/>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3"/>
    <w:next w:val="3"/>
    <w:autoRedefine/>
    <w:qFormat/>
    <w:uiPriority w:val="0"/>
    <w:pPr>
      <w:widowControl/>
      <w:adjustRightInd w:val="0"/>
      <w:snapToGrid w:val="0"/>
      <w:spacing w:before="240" w:after="60" w:line="560" w:lineRule="exact"/>
      <w:jc w:val="left"/>
      <w:outlineLvl w:val="0"/>
    </w:pPr>
    <w:rPr>
      <w:rFonts w:ascii="仿宋_GB2312" w:hAnsi="Calibri" w:eastAsia="仿宋_GB2312" w:cs="Times New Roman"/>
      <w:color w:val="FF0000"/>
      <w:spacing w:val="-3"/>
      <w:kern w:val="0"/>
      <w:sz w:val="24"/>
      <w:szCs w:val="32"/>
      <w:lang w:val="en-US" w:eastAsia="zh-CN" w:bidi="ar-SA"/>
    </w:rPr>
  </w:style>
  <w:style w:type="paragraph" w:styleId="3">
    <w:name w:val="Title"/>
    <w:basedOn w:val="1"/>
    <w:next w:val="1"/>
    <w:autoRedefine/>
    <w:qFormat/>
    <w:uiPriority w:val="0"/>
    <w:pPr>
      <w:widowControl/>
      <w:spacing w:before="240" w:after="60" w:line="560" w:lineRule="exact"/>
      <w:jc w:val="center"/>
      <w:outlineLvl w:val="0"/>
    </w:pPr>
    <w:rPr>
      <w:rFonts w:ascii="Arial" w:hAnsi="Arial" w:eastAsia="华文中宋" w:cs="Arial"/>
      <w:b/>
      <w:bCs/>
      <w:color w:val="FF0000"/>
      <w:kern w:val="0"/>
      <w:sz w:val="84"/>
      <w:szCs w:val="32"/>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autoRedefine/>
    <w:qFormat/>
    <w:uiPriority w:val="0"/>
    <w:rPr>
      <w:b/>
    </w:rPr>
  </w:style>
  <w:style w:type="character" w:styleId="12">
    <w:name w:val="Hyperlink"/>
    <w:basedOn w:val="10"/>
    <w:autoRedefine/>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4872</Words>
  <Characters>4917</Characters>
  <Lines>0</Lines>
  <Paragraphs>0</Paragraphs>
  <TotalTime>6</TotalTime>
  <ScaleCrop>false</ScaleCrop>
  <LinksUpToDate>false</LinksUpToDate>
  <CharactersWithSpaces>4919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2021-03-21T03:57:00Z</dcterms:created>
  <dc:creator>罗炜</dc:creator>
  <cp:lastModifiedBy>梁琮源</cp:lastModifiedBy>
  <dcterms:modified xsi:type="dcterms:W3CDTF">2025-09-04T04:45:58Z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3182D52CA58E4A80A73AA1BF89515309</vt:lpwstr>
  </property>
  <property fmtid="{D5CDD505-2E9C-101B-9397-08002B2CF9AE}" pid="4" name="KSOTemplateDocerSaveRecord">
    <vt:lpwstr>eyJoZGlkIjoiYjkyZmNhZmMwYTRkMzdjNDc0ZDBiODA4ZTNmNjg2YzYiLCJ1c2VySWQiOiIxNjU1MjQwMzA3In0=</vt:lpwstr>
  </property>
</Properties>
</file>