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525DC">
      <w:pPr>
        <w:keepNext/>
        <w:keepLines/>
        <w:widowControl w:val="0"/>
        <w:spacing w:before="156" w:beforeLines="50" w:beforeAutospacing="0" w:after="156" w:afterLines="50" w:afterAutospacing="0" w:line="560" w:lineRule="exact"/>
        <w:ind w:firstLine="0" w:firstLineChars="0"/>
        <w:jc w:val="both"/>
        <w:outlineLvl w:val="1"/>
        <w:rPr>
          <w:rFonts w:ascii="Times New Roman" w:hAnsi="Times New Roman" w:eastAsia="仿宋" w:cs="Times New Roman"/>
          <w:kern w:val="2"/>
          <w:sz w:val="36"/>
          <w:szCs w:val="30"/>
          <w:bdr w:val="single" w:color="auto" w:sz="4" w:space="0"/>
          <w:lang w:val="en-US" w:eastAsia="zh-CN" w:bidi="ar-SA"/>
        </w:rPr>
      </w:pPr>
      <w:bookmarkStart w:id="0" w:name="_Toc27758005"/>
      <w:bookmarkStart w:id="1" w:name="_Toc27991889"/>
      <w:bookmarkStart w:id="2" w:name="_Toc27498965"/>
      <w:bookmarkStart w:id="3" w:name="_Toc27995608"/>
      <w:bookmarkStart w:id="4" w:name="_Toc27992963"/>
      <w:bookmarkStart w:id="5" w:name="_Toc27992327"/>
      <w:bookmarkStart w:id="6" w:name="_Toc27578314"/>
      <w:bookmarkStart w:id="7" w:name="_Toc27999605"/>
      <w:bookmarkStart w:id="8" w:name="_Toc28263824"/>
      <w:bookmarkStart w:id="9" w:name="_Toc27998018"/>
      <w:bookmarkStart w:id="10" w:name="_Toc27578120"/>
      <w:bookmarkStart w:id="11" w:name="_Toc27759111"/>
      <w:bookmarkStart w:id="12" w:name="_Toc27757817"/>
      <w:bookmarkStart w:id="13" w:name="_Toc27637459"/>
      <w:bookmarkStart w:id="14" w:name="_Toc27409437"/>
      <w:bookmarkStart w:id="15" w:name="_Toc27574606"/>
      <w:bookmarkStart w:id="16" w:name="_Toc28265710"/>
      <w:bookmarkStart w:id="17" w:name="_Toc27997566"/>
      <w:bookmarkStart w:id="18" w:name="_Toc28267068"/>
      <w:bookmarkStart w:id="19" w:name="_Toc27636785"/>
      <w:bookmarkStart w:id="20" w:name="_Toc27636968"/>
      <w:bookmarkStart w:id="21" w:name="_Toc27754873"/>
      <w:bookmarkStart w:id="22" w:name="_Toc27636188"/>
      <w:bookmarkStart w:id="23" w:name="_Toc28017580"/>
      <w:bookmarkStart w:id="24" w:name="_Toc27992107"/>
      <w:bookmarkStart w:id="25" w:name="_Toc27579372"/>
      <w:bookmarkStart w:id="26" w:name="_Toc27578507"/>
      <w:bookmarkStart w:id="27" w:name="_Toc28017279"/>
      <w:bookmarkStart w:id="28" w:name="_Toc28015534"/>
      <w:bookmarkStart w:id="29" w:name="_Toc27498598"/>
      <w:bookmarkStart w:id="30" w:name="_Toc28069149"/>
      <w:bookmarkStart w:id="31" w:name="_Toc27992752"/>
      <w:bookmarkStart w:id="32" w:name="_Toc27993941"/>
      <w:bookmarkStart w:id="33" w:name="_Toc27409248"/>
      <w:bookmarkStart w:id="34" w:name="_Toc27499146"/>
      <w:bookmarkStart w:id="35" w:name="_Toc27993380"/>
      <w:bookmarkStart w:id="36" w:name="_Toc27993174"/>
      <w:bookmarkStart w:id="37" w:name="_Toc27389145"/>
      <w:bookmarkStart w:id="38" w:name="_Toc27498782"/>
      <w:bookmarkStart w:id="39" w:name="_Toc27761342"/>
      <w:bookmarkStart w:id="40" w:name="_Toc27757399"/>
      <w:bookmarkStart w:id="41" w:name="_Toc27680892"/>
      <w:bookmarkStart w:id="42" w:name="_Toc27999888"/>
      <w:bookmarkStart w:id="43" w:name="_Toc27757211"/>
      <w:bookmarkStart w:id="44" w:name="_Toc27994219"/>
      <w:bookmarkStart w:id="45" w:name="_Toc27681079"/>
      <w:bookmarkStart w:id="46" w:name="_Toc27992541"/>
      <w:bookmarkStart w:id="47" w:name="_Toc27761530"/>
      <w:bookmarkStart w:id="48" w:name="_Toc27637277"/>
      <w:bookmarkStart w:id="49" w:name="_Toc27993584"/>
      <w:bookmarkStart w:id="50" w:name="_Toc28001189"/>
      <w:bookmarkStart w:id="51" w:name="_Toc28068051"/>
      <w:bookmarkStart w:id="52" w:name="_Toc27409064"/>
      <w:bookmarkStart w:id="53" w:name="_Toc27408839"/>
      <w:bookmarkStart w:id="54" w:name="_Toc27156327"/>
      <w:bookmarkStart w:id="55" w:name="_Toc27725551"/>
      <w:r>
        <w:rPr>
          <w:rFonts w:ascii="Times New Roman" w:hAnsi="Times New Roman" w:eastAsia="黑体" w:cs="Times New Roman"/>
          <w:kern w:val="2"/>
          <w:sz w:val="32"/>
          <w:szCs w:val="24"/>
          <w:lang w:val="en-US" w:eastAsia="zh-CN" w:bidi="ar-SA"/>
        </w:rPr>
        <w:drawing>
          <wp:anchor distT="0" distB="0" distL="114300" distR="114300" simplePos="0" relativeHeight="251660288" behindDoc="0" locked="0" layoutInCell="1" allowOverlap="1">
            <wp:simplePos x="0" y="0"/>
            <wp:positionH relativeFrom="page">
              <wp:posOffset>-44450</wp:posOffset>
            </wp:positionH>
            <wp:positionV relativeFrom="page">
              <wp:posOffset>4445</wp:posOffset>
            </wp:positionV>
            <wp:extent cx="7747635" cy="6140450"/>
            <wp:effectExtent l="0" t="0" r="5715" b="12700"/>
            <wp:wrapNone/>
            <wp:docPr id="4" name="Image1" descr="D02-L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descr="D02-L [Conver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7747635" cy="6140450"/>
                    </a:xfrm>
                    <a:prstGeom prst="rect">
                      <a:avLst/>
                    </a:prstGeom>
                    <a:noFill/>
                  </pic:spPr>
                </pic:pic>
              </a:graphicData>
            </a:graphic>
          </wp:anchor>
        </w:drawing>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ascii="Times New Roman" w:hAnsi="Times New Roman" w:eastAsia="黑体" w:cs="Times New Roman"/>
          <w:bCs/>
          <w:kern w:val="2"/>
          <w:sz w:val="32"/>
          <w:szCs w:val="32"/>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-946150</wp:posOffset>
                </wp:positionH>
                <wp:positionV relativeFrom="paragraph">
                  <wp:posOffset>2575560</wp:posOffset>
                </wp:positionV>
                <wp:extent cx="6393815" cy="142367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6393815" cy="1423670"/>
                        </a:xfrm>
                        <a:prstGeom prst="rect">
                          <a:avLst/>
                        </a:prstGeom>
                        <a:noFill/>
                        <a:ln>
                          <a:noFill/>
                        </a:ln>
                        <a:effectLst/>
                      </wps:spPr>
                      <wps:txbx>
                        <w:txbxContent>
                          <w:p w14:paraId="7D89A3FB">
                            <w:pPr>
                              <w:spacing w:line="560" w:lineRule="exact"/>
                              <w:ind w:firstLine="1044" w:firstLineChars="200"/>
                              <w:jc w:val="right"/>
                              <w:rPr>
                                <w:rFonts w:ascii="方正小标宋_GBK" w:hAnsi="方正小标宋_GBK" w:eastAsia="方正小标宋_GBK" w:cs="方正小标宋_GBK"/>
                                <w:b/>
                                <w:sz w:val="52"/>
                                <w:szCs w:val="52"/>
                              </w:rPr>
                            </w:pPr>
                            <w:r>
                              <w:rPr>
                                <w:rFonts w:hint="eastAsia" w:ascii="方正小标宋_GBK" w:hAnsi="方正小标宋_GBK" w:eastAsia="方正小标宋_GBK" w:cs="方正小标宋_GBK"/>
                                <w:b/>
                                <w:sz w:val="52"/>
                                <w:szCs w:val="52"/>
                              </w:rPr>
                              <w:t>昆柳龙、禄高肇多端直流生产准备工作方案</w:t>
                            </w:r>
                          </w:p>
                          <w:p w14:paraId="796C76AC">
                            <w:pPr>
                              <w:spacing w:line="560" w:lineRule="exact"/>
                              <w:ind w:firstLine="1044" w:firstLineChars="200"/>
                              <w:jc w:val="right"/>
                              <w:rPr>
                                <w:rFonts w:ascii="黑体" w:hAnsi="黑体" w:eastAsia="黑体" w:cs="黑体"/>
                                <w:b/>
                                <w:sz w:val="52"/>
                                <w:szCs w:val="52"/>
                              </w:rPr>
                            </w:pPr>
                            <w:r>
                              <w:rPr>
                                <w:rFonts w:hint="eastAsia" w:ascii="方正小标宋_GBK" w:hAnsi="方正小标宋_GBK" w:eastAsia="方正小标宋_GBK" w:cs="方正小标宋_GBK"/>
                                <w:b/>
                                <w:sz w:val="52"/>
                                <w:szCs w:val="52"/>
                              </w:rPr>
                              <w:t>（会议讨论稿）</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4.5pt;margin-top:202.8pt;height:112.1pt;width:503.45pt;z-index:251659264;mso-width-relative:page;mso-height-relative:page;" filled="f" stroked="f" coordsize="21600,21600" o:gfxdata="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E7/efZ&#10;AAAADAEAAA8AAAAAAAAAAQAgAAAAIgAAAGRycy9kb3ducmV2LnhtbFBLAQIUABQAAAAIAIdO4kCD&#10;9+WBHwIAACQEAAAOAAAAAAAAAAEAIAAAACgBAABkcnMvZTJvRG9jLnhtbFBLBQYAAAAABgAGAFkB&#10;AAC5BQAAAAA=&#10;">
                <v:fill on="f" focussize="0,0"/>
                <v:stroke on="f"/>
                <v:imagedata o:title=""/>
                <o:lock v:ext="edit" aspectratio="f"/>
                <v:textbox>
                  <w:txbxContent>
                    <w:p w14:paraId="7D89A3FB">
                      <w:pPr>
                        <w:spacing w:line="560" w:lineRule="exact"/>
                        <w:ind w:firstLine="1044" w:firstLineChars="200"/>
                        <w:jc w:val="right"/>
                        <w:rPr>
                          <w:rFonts w:ascii="方正小标宋_GBK" w:hAnsi="方正小标宋_GBK" w:eastAsia="方正小标宋_GBK" w:cs="方正小标宋_GBK"/>
                          <w:b/>
                          <w:sz w:val="52"/>
                          <w:szCs w:val="52"/>
                        </w:rPr>
                      </w:pPr>
                      <w:r>
                        <w:rPr>
                          <w:rFonts w:hint="eastAsia" w:ascii="方正小标宋_GBK" w:hAnsi="方正小标宋_GBK" w:eastAsia="方正小标宋_GBK" w:cs="方正小标宋_GBK"/>
                          <w:b/>
                          <w:sz w:val="52"/>
                          <w:szCs w:val="52"/>
                        </w:rPr>
                        <w:t>昆柳龙、禄高肇多端直流生产准备工作方案</w:t>
                      </w:r>
                    </w:p>
                    <w:p w14:paraId="796C76AC">
                      <w:pPr>
                        <w:spacing w:line="560" w:lineRule="exact"/>
                        <w:ind w:firstLine="1044" w:firstLineChars="200"/>
                        <w:jc w:val="right"/>
                        <w:rPr>
                          <w:rFonts w:ascii="黑体" w:hAnsi="黑体" w:eastAsia="黑体" w:cs="黑体"/>
                          <w:b/>
                          <w:sz w:val="52"/>
                          <w:szCs w:val="52"/>
                        </w:rPr>
                      </w:pPr>
                      <w:r>
                        <w:rPr>
                          <w:rFonts w:hint="eastAsia" w:ascii="方正小标宋_GBK" w:hAnsi="方正小标宋_GBK" w:eastAsia="方正小标宋_GBK" w:cs="方正小标宋_GBK"/>
                          <w:b/>
                          <w:sz w:val="52"/>
                          <w:szCs w:val="52"/>
                        </w:rPr>
                        <w:t>（会议讨论稿）</w:t>
                      </w:r>
                    </w:p>
                  </w:txbxContent>
                </v:textbox>
              </v:shape>
            </w:pict>
          </mc:Fallback>
        </mc:AlternateContent>
      </w:r>
      <w:r>
        <w:rPr>
          <w:rFonts w:ascii="Times New Roman" w:hAnsi="Times New Roman" w:eastAsia="仿宋" w:cs="Times New Roman"/>
          <w:kern w:val="2"/>
          <w:sz w:val="36"/>
          <w:szCs w:val="30"/>
          <w:bdr w:val="single" w:color="auto" w:sz="4" w:space="0"/>
          <w:lang w:val="en-US" w:eastAsia="zh-CN" w:bidi="ar-SA"/>
        </w:rPr>
        <w:t xml:space="preserve">                                                                                                                                                                                                                                                                                                                   </w:t>
      </w:r>
    </w:p>
    <w:p w14:paraId="0A7C0D2D">
      <w:pPr>
        <w:spacing w:after="120" w:line="560" w:lineRule="exact"/>
        <w:ind w:firstLine="430" w:firstLineChars="119"/>
        <w:rPr>
          <w:rFonts w:ascii="Times New Roman" w:hAnsi="Times New Roman"/>
          <w:b/>
          <w:sz w:val="36"/>
          <w:szCs w:val="30"/>
        </w:rPr>
      </w:pPr>
    </w:p>
    <w:p w14:paraId="2E705BA7">
      <w:pPr>
        <w:spacing w:after="120" w:line="560" w:lineRule="exact"/>
        <w:ind w:firstLine="430" w:firstLineChars="119"/>
        <w:rPr>
          <w:rFonts w:ascii="Times New Roman" w:hAnsi="Times New Roman"/>
          <w:b/>
          <w:sz w:val="36"/>
          <w:szCs w:val="30"/>
        </w:rPr>
      </w:pPr>
    </w:p>
    <w:p w14:paraId="2A95886A">
      <w:pPr>
        <w:spacing w:after="120" w:line="560" w:lineRule="exact"/>
        <w:ind w:firstLine="430" w:firstLineChars="119"/>
        <w:rPr>
          <w:rFonts w:ascii="Times New Roman" w:hAnsi="Times New Roman"/>
          <w:b/>
          <w:sz w:val="36"/>
          <w:szCs w:val="30"/>
        </w:rPr>
      </w:pPr>
    </w:p>
    <w:p w14:paraId="15105646">
      <w:pPr>
        <w:spacing w:after="120" w:line="560" w:lineRule="exact"/>
        <w:ind w:firstLine="430" w:firstLineChars="119"/>
        <w:rPr>
          <w:rFonts w:ascii="Times New Roman" w:hAnsi="Times New Roman"/>
          <w:b/>
          <w:sz w:val="36"/>
          <w:szCs w:val="30"/>
        </w:rPr>
      </w:pPr>
    </w:p>
    <w:p w14:paraId="2DF434E9">
      <w:pPr>
        <w:spacing w:after="120" w:line="560" w:lineRule="exact"/>
        <w:ind w:firstLine="430" w:firstLineChars="119"/>
        <w:rPr>
          <w:rFonts w:ascii="Times New Roman" w:hAnsi="Times New Roman"/>
          <w:b/>
          <w:sz w:val="36"/>
          <w:szCs w:val="30"/>
        </w:rPr>
      </w:pPr>
      <w:r>
        <w:rPr>
          <w:rFonts w:ascii="Times New Roman" w:hAnsi="Times New Roman"/>
          <w:b/>
          <w:sz w:val="36"/>
          <w:szCs w:val="30"/>
        </w:rPr>
        <mc:AlternateContent>
          <mc:Choice Requires="wps">
            <w:drawing>
              <wp:anchor distT="0" distB="0" distL="114300" distR="114300" simplePos="0" relativeHeight="251661312" behindDoc="0" locked="0" layoutInCell="1" allowOverlap="1">
                <wp:simplePos x="0" y="0"/>
                <wp:positionH relativeFrom="column">
                  <wp:posOffset>-257810</wp:posOffset>
                </wp:positionH>
                <wp:positionV relativeFrom="paragraph">
                  <wp:posOffset>190500</wp:posOffset>
                </wp:positionV>
                <wp:extent cx="6452870" cy="550545"/>
                <wp:effectExtent l="0" t="0" r="5080" b="1905"/>
                <wp:wrapNone/>
                <wp:docPr id="8" name="文本框 8"/>
                <wp:cNvGraphicFramePr/>
                <a:graphic xmlns:a="http://schemas.openxmlformats.org/drawingml/2006/main">
                  <a:graphicData uri="http://schemas.microsoft.com/office/word/2010/wordprocessingShape">
                    <wps:wsp>
                      <wps:cNvSpPr txBox="1"/>
                      <wps:spPr>
                        <a:xfrm>
                          <a:off x="0" y="0"/>
                          <a:ext cx="6452870" cy="550545"/>
                        </a:xfrm>
                        <a:prstGeom prst="rect">
                          <a:avLst/>
                        </a:prstGeom>
                        <a:solidFill>
                          <a:srgbClr val="FFFFFF"/>
                        </a:solidFill>
                        <a:ln w="9525">
                          <a:noFill/>
                        </a:ln>
                      </wps:spPr>
                      <wps:txbx>
                        <w:txbxContent>
                          <w:p w14:paraId="35AF147D">
                            <w:pPr>
                              <w:widowControl w:val="0"/>
                              <w:wordWrap w:val="0"/>
                              <w:spacing w:before="120" w:after="120" w:line="500" w:lineRule="exact"/>
                              <w:ind w:right="357" w:firstLine="0" w:firstLineChars="0"/>
                              <w:jc w:val="right"/>
                              <w:rPr>
                                <w:rFonts w:hint="default" w:ascii="黑体" w:hAnsi="黑体" w:eastAsia="黑体" w:cs="Times New Roman"/>
                                <w:b/>
                                <w:kern w:val="2"/>
                                <w:sz w:val="52"/>
                                <w:szCs w:val="48"/>
                                <w:lang w:val="en-US" w:eastAsia="zh-CN" w:bidi="ar-SA"/>
                              </w:rPr>
                            </w:pPr>
                            <w:r>
                              <w:rPr>
                                <w:rFonts w:hint="eastAsia" w:ascii="黑体" w:hAnsi="黑体" w:eastAsia="黑体" w:cs="Times New Roman"/>
                                <w:b/>
                                <w:kern w:val="2"/>
                                <w:sz w:val="52"/>
                                <w:szCs w:val="48"/>
                                <w:lang w:val="en-US" w:eastAsia="zh-CN" w:bidi="ar-SA"/>
                              </w:rPr>
                              <w:t>XXXXXXXXXXXXXX产品</w:t>
                            </w:r>
                          </w:p>
                        </w:txbxContent>
                      </wps:txbx>
                      <wps:bodyPr upright="1"/>
                    </wps:wsp>
                  </a:graphicData>
                </a:graphic>
              </wp:anchor>
            </w:drawing>
          </mc:Choice>
          <mc:Fallback>
            <w:pict>
              <v:shape id="_x0000_s1026" o:spid="_x0000_s1026" o:spt="202" type="#_x0000_t202" style="position:absolute;left:0pt;margin-left:-20.3pt;margin-top:15pt;height:43.35pt;width:508.1pt;z-index:251661312;mso-width-relative:page;mso-height-relative:page;" fillcolor="#FFFFFF" filled="t" stroked="f" coordsize="21600,21600" o:gfxdata="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YbzijXAAAACgEAAA8AAAAAAAAAAQAgAAAAIgAAAGRycy9kb3du&#10;cmV2LnhtbFBLAQIUABQAAAAIAIdO4kB7I/VuxwEAAIADAAAOAAAAAAAAAAEAIAAAACYBAABkcnMv&#10;ZTJvRG9jLnhtbFBLBQYAAAAABgAGAFkBAABfBQAAAAA=&#10;">
                <v:fill on="t" focussize="0,0"/>
                <v:stroke on="f"/>
                <v:imagedata o:title=""/>
                <o:lock v:ext="edit" aspectratio="f"/>
                <v:textbox>
                  <w:txbxContent>
                    <w:p w14:paraId="35AF147D">
                      <w:pPr>
                        <w:widowControl w:val="0"/>
                        <w:wordWrap w:val="0"/>
                        <w:spacing w:before="120" w:after="120" w:line="500" w:lineRule="exact"/>
                        <w:ind w:right="357" w:firstLine="0" w:firstLineChars="0"/>
                        <w:jc w:val="right"/>
                        <w:rPr>
                          <w:rFonts w:hint="default" w:ascii="黑体" w:hAnsi="黑体" w:eastAsia="黑体" w:cs="Times New Roman"/>
                          <w:b/>
                          <w:kern w:val="2"/>
                          <w:sz w:val="52"/>
                          <w:szCs w:val="48"/>
                          <w:lang w:val="en-US" w:eastAsia="zh-CN" w:bidi="ar-SA"/>
                        </w:rPr>
                      </w:pPr>
                      <w:r>
                        <w:rPr>
                          <w:rFonts w:hint="eastAsia" w:ascii="黑体" w:hAnsi="黑体" w:eastAsia="黑体" w:cs="Times New Roman"/>
                          <w:b/>
                          <w:kern w:val="2"/>
                          <w:sz w:val="52"/>
                          <w:szCs w:val="48"/>
                          <w:lang w:val="en-US" w:eastAsia="zh-CN" w:bidi="ar-SA"/>
                        </w:rPr>
                        <w:t>XXXXXXXXXXXXXX产品</w:t>
                      </w:r>
                    </w:p>
                  </w:txbxContent>
                </v:textbox>
              </v:shape>
            </w:pict>
          </mc:Fallback>
        </mc:AlternateContent>
      </w:r>
    </w:p>
    <w:p w14:paraId="75225765">
      <w:pPr>
        <w:spacing w:after="120" w:line="560" w:lineRule="exact"/>
        <w:ind w:firstLine="430" w:firstLineChars="119"/>
        <w:rPr>
          <w:rFonts w:ascii="Times New Roman" w:hAnsi="Times New Roman"/>
          <w:b/>
          <w:sz w:val="36"/>
          <w:szCs w:val="30"/>
        </w:rPr>
      </w:pPr>
    </w:p>
    <w:p w14:paraId="777A6568">
      <w:pPr>
        <w:spacing w:after="120" w:line="560" w:lineRule="exact"/>
        <w:ind w:firstLine="430" w:firstLineChars="119"/>
        <w:rPr>
          <w:rFonts w:ascii="Times New Roman" w:hAnsi="Times New Roman"/>
          <w:b/>
          <w:sz w:val="36"/>
          <w:szCs w:val="30"/>
        </w:rPr>
      </w:pPr>
      <w:r>
        <w:rPr>
          <w:rFonts w:ascii="Times New Roman" w:hAnsi="Times New Roman"/>
          <w:b/>
          <w:sz w:val="36"/>
          <w:szCs w:val="30"/>
        </w:rPr>
        <mc:AlternateContent>
          <mc:Choice Requires="wps">
            <w:drawing>
              <wp:anchor distT="0" distB="0" distL="114300" distR="114300" simplePos="0" relativeHeight="251661312" behindDoc="0" locked="0" layoutInCell="1" allowOverlap="1">
                <wp:simplePos x="0" y="0"/>
                <wp:positionH relativeFrom="column">
                  <wp:posOffset>2313305</wp:posOffset>
                </wp:positionH>
                <wp:positionV relativeFrom="page">
                  <wp:posOffset>4246245</wp:posOffset>
                </wp:positionV>
                <wp:extent cx="3830955" cy="5505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830955" cy="550545"/>
                        </a:xfrm>
                        <a:prstGeom prst="rect">
                          <a:avLst/>
                        </a:prstGeom>
                        <a:noFill/>
                        <a:ln w="9525">
                          <a:noFill/>
                        </a:ln>
                      </wps:spPr>
                      <wps:txbx>
                        <w:txbxContent>
                          <w:p w14:paraId="24212F24">
                            <w:pPr>
                              <w:widowControl w:val="0"/>
                              <w:wordWrap w:val="0"/>
                              <w:spacing w:before="120" w:after="120" w:line="500" w:lineRule="exact"/>
                              <w:ind w:right="357" w:firstLine="0" w:firstLineChars="0"/>
                              <w:jc w:val="right"/>
                              <w:rPr>
                                <w:rFonts w:hint="eastAsia" w:ascii="黑体" w:hAnsi="黑体" w:eastAsia="黑体" w:cs="Times New Roman"/>
                                <w:b/>
                                <w:kern w:val="2"/>
                                <w:sz w:val="52"/>
                                <w:szCs w:val="48"/>
                                <w:lang w:val="en-US" w:eastAsia="zh-CN" w:bidi="ar-SA"/>
                              </w:rPr>
                            </w:pPr>
                            <w:r>
                              <w:rPr>
                                <w:rFonts w:hint="eastAsia" w:ascii="黑体" w:hAnsi="黑体" w:eastAsia="黑体" w:cs="Times New Roman"/>
                                <w:b/>
                                <w:kern w:val="2"/>
                                <w:sz w:val="52"/>
                                <w:szCs w:val="48"/>
                                <w:lang w:val="zh-CN" w:eastAsia="zh-CN" w:bidi="ar-SA"/>
                              </w:rPr>
                              <w:t>挂网试运行方案</w:t>
                            </w:r>
                          </w:p>
                          <w:p w14:paraId="30D515DD">
                            <w:pPr>
                              <w:widowControl w:val="0"/>
                              <w:wordWrap w:val="0"/>
                              <w:spacing w:before="120" w:after="120" w:line="500" w:lineRule="exact"/>
                              <w:ind w:right="357" w:firstLine="0" w:firstLineChars="0"/>
                              <w:jc w:val="right"/>
                              <w:rPr>
                                <w:rFonts w:ascii="方正小标宋_GBK" w:hAnsi="方正小标宋_GBK" w:eastAsia="方正小标宋_GBK" w:cs="方正小标宋_GBK"/>
                                <w:b/>
                                <w:kern w:val="2"/>
                                <w:sz w:val="52"/>
                                <w:szCs w:val="48"/>
                                <w:lang w:val="zh-CN" w:eastAsia="zh-CN" w:bidi="ar-SA"/>
                              </w:rPr>
                            </w:pPr>
                          </w:p>
                        </w:txbxContent>
                      </wps:txbx>
                      <wps:bodyPr upright="1"/>
                    </wps:wsp>
                  </a:graphicData>
                </a:graphic>
              </wp:anchor>
            </w:drawing>
          </mc:Choice>
          <mc:Fallback>
            <w:pict>
              <v:shape id="_x0000_s1026" o:spid="_x0000_s1026" o:spt="202" type="#_x0000_t202" style="position:absolute;left:0pt;margin-left:182.15pt;margin-top:334.35pt;height:43.35pt;width:301.65pt;mso-position-vertical-relative:page;z-index:251661312;mso-width-relative:page;mso-height-relative:page;" filled="f" stroked="f" coordsize="21600,21600" o:gfxdata="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RgxgidkAAAALAQAADwAAAAAAAAABACAAAAAiAAAAZHJzL2Rvd25yZXYueG1sUEsBAhQAFAAA&#10;AAgAh07iQG1y8961AQAAWQMAAA4AAAAAAAAAAQAgAAAAKAEAAGRycy9lMm9Eb2MueG1sUEsFBgAA&#10;AAAGAAYAWQEAAE8FAAAAAA==&#10;">
                <v:fill on="f" focussize="0,0"/>
                <v:stroke on="f"/>
                <v:imagedata o:title=""/>
                <o:lock v:ext="edit" aspectratio="f"/>
                <v:textbox>
                  <w:txbxContent>
                    <w:p w14:paraId="24212F24">
                      <w:pPr>
                        <w:widowControl w:val="0"/>
                        <w:wordWrap w:val="0"/>
                        <w:spacing w:before="120" w:after="120" w:line="500" w:lineRule="exact"/>
                        <w:ind w:right="357" w:firstLine="0" w:firstLineChars="0"/>
                        <w:jc w:val="right"/>
                        <w:rPr>
                          <w:rFonts w:hint="eastAsia" w:ascii="黑体" w:hAnsi="黑体" w:eastAsia="黑体" w:cs="Times New Roman"/>
                          <w:b/>
                          <w:kern w:val="2"/>
                          <w:sz w:val="52"/>
                          <w:szCs w:val="48"/>
                          <w:lang w:val="en-US" w:eastAsia="zh-CN" w:bidi="ar-SA"/>
                        </w:rPr>
                      </w:pPr>
                      <w:r>
                        <w:rPr>
                          <w:rFonts w:hint="eastAsia" w:ascii="黑体" w:hAnsi="黑体" w:eastAsia="黑体" w:cs="Times New Roman"/>
                          <w:b/>
                          <w:kern w:val="2"/>
                          <w:sz w:val="52"/>
                          <w:szCs w:val="48"/>
                          <w:lang w:val="zh-CN" w:eastAsia="zh-CN" w:bidi="ar-SA"/>
                        </w:rPr>
                        <w:t>挂网试运行方案</w:t>
                      </w:r>
                    </w:p>
                    <w:p w14:paraId="30D515DD">
                      <w:pPr>
                        <w:widowControl w:val="0"/>
                        <w:wordWrap w:val="0"/>
                        <w:spacing w:before="120" w:after="120" w:line="500" w:lineRule="exact"/>
                        <w:ind w:right="357" w:firstLine="0" w:firstLineChars="0"/>
                        <w:jc w:val="right"/>
                        <w:rPr>
                          <w:rFonts w:ascii="方正小标宋_GBK" w:hAnsi="方正小标宋_GBK" w:eastAsia="方正小标宋_GBK" w:cs="方正小标宋_GBK"/>
                          <w:b/>
                          <w:kern w:val="2"/>
                          <w:sz w:val="52"/>
                          <w:szCs w:val="48"/>
                          <w:lang w:val="zh-CN" w:eastAsia="zh-CN" w:bidi="ar-SA"/>
                        </w:rPr>
                      </w:pPr>
                    </w:p>
                  </w:txbxContent>
                </v:textbox>
              </v:shape>
            </w:pict>
          </mc:Fallback>
        </mc:AlternateContent>
      </w:r>
    </w:p>
    <w:p w14:paraId="310989E9">
      <w:pPr>
        <w:spacing w:after="120" w:line="560" w:lineRule="exact"/>
        <w:ind w:firstLine="430" w:firstLineChars="119"/>
        <w:rPr>
          <w:rFonts w:ascii="Times New Roman" w:hAnsi="Times New Roman"/>
          <w:b/>
          <w:sz w:val="36"/>
          <w:szCs w:val="30"/>
        </w:rPr>
      </w:pPr>
    </w:p>
    <w:p w14:paraId="4C6E9AF4">
      <w:pPr>
        <w:spacing w:after="120" w:line="560" w:lineRule="exact"/>
        <w:ind w:firstLine="723" w:firstLineChars="200"/>
        <w:rPr>
          <w:rFonts w:ascii="Times New Roman" w:hAnsi="Times New Roman"/>
          <w:b/>
          <w:sz w:val="36"/>
          <w:szCs w:val="30"/>
        </w:rPr>
      </w:pPr>
    </w:p>
    <w:p w14:paraId="67188BDF">
      <w:pPr>
        <w:spacing w:after="120" w:line="560" w:lineRule="exact"/>
        <w:ind w:firstLine="723" w:firstLineChars="200"/>
        <w:rPr>
          <w:rFonts w:ascii="Times New Roman" w:hAnsi="Times New Roman"/>
          <w:b/>
          <w:sz w:val="36"/>
          <w:szCs w:val="30"/>
        </w:rPr>
      </w:pPr>
    </w:p>
    <w:p w14:paraId="32363C71">
      <w:pPr>
        <w:spacing w:after="120" w:line="560" w:lineRule="exact"/>
        <w:ind w:firstLine="382" w:firstLineChars="119"/>
        <w:rPr>
          <w:rFonts w:ascii="Times New Roman" w:hAnsi="Times New Roman" w:eastAsia="黑体"/>
          <w:b/>
          <w:szCs w:val="32"/>
        </w:rPr>
      </w:pPr>
    </w:p>
    <w:p w14:paraId="358FE74D">
      <w:pPr>
        <w:spacing w:after="120" w:line="560" w:lineRule="exact"/>
        <w:ind w:firstLine="382" w:firstLineChars="119"/>
        <w:rPr>
          <w:rFonts w:ascii="Times New Roman" w:hAnsi="Times New Roman" w:eastAsia="黑体"/>
          <w:b/>
          <w:szCs w:val="32"/>
        </w:rPr>
      </w:pPr>
    </w:p>
    <w:p w14:paraId="3891AE89">
      <w:pPr>
        <w:spacing w:after="120" w:line="560" w:lineRule="exact"/>
        <w:ind w:firstLine="382" w:firstLineChars="119"/>
        <w:rPr>
          <w:rFonts w:ascii="Times New Roman" w:hAnsi="Times New Roman" w:eastAsia="黑体"/>
          <w:b/>
          <w:szCs w:val="32"/>
        </w:rPr>
      </w:pPr>
    </w:p>
    <w:p w14:paraId="4C88A758">
      <w:pPr>
        <w:spacing w:after="120" w:line="560" w:lineRule="exact"/>
        <w:ind w:firstLine="382" w:firstLineChars="119"/>
        <w:rPr>
          <w:rFonts w:ascii="Times New Roman" w:hAnsi="Times New Roman" w:eastAsia="黑体"/>
          <w:b/>
          <w:szCs w:val="32"/>
        </w:rPr>
      </w:pPr>
    </w:p>
    <w:p w14:paraId="55B743E3">
      <w:pPr>
        <w:spacing w:after="120" w:line="560" w:lineRule="exact"/>
        <w:ind w:firstLine="382" w:firstLineChars="119"/>
        <w:jc w:val="center"/>
        <w:rPr>
          <w:rFonts w:ascii="Times New Roman" w:hAnsi="Times New Roman" w:eastAsia="黑体"/>
          <w:b/>
          <w:szCs w:val="32"/>
        </w:rPr>
      </w:pPr>
    </w:p>
    <w:p w14:paraId="23B30C44">
      <w:pPr>
        <w:spacing w:after="120" w:line="560" w:lineRule="exact"/>
        <w:ind w:firstLine="562" w:firstLineChars="200"/>
        <w:jc w:val="center"/>
        <w:rPr>
          <w:rFonts w:hint="default" w:ascii="Times New Roman" w:hAnsi="Times New Roman" w:eastAsia="黑体"/>
          <w:b/>
          <w:sz w:val="28"/>
          <w:szCs w:val="22"/>
          <w:lang w:val="en-US" w:eastAsia="zh-CN"/>
        </w:rPr>
      </w:pPr>
    </w:p>
    <w:p w14:paraId="26F86E95">
      <w:pPr>
        <w:widowControl w:val="0"/>
        <w:spacing w:line="360" w:lineRule="auto"/>
        <w:ind w:firstLine="562" w:firstLineChars="200"/>
        <w:jc w:val="center"/>
        <w:rPr>
          <w:rFonts w:hint="default" w:ascii="Times New Roman" w:hAnsi="Times New Roman" w:eastAsia="仿宋" w:cs="Times New Roman"/>
          <w:kern w:val="2"/>
          <w:sz w:val="52"/>
          <w:szCs w:val="52"/>
          <w:lang w:val="en-US" w:eastAsia="zh-CN" w:bidi="ar-SA"/>
        </w:rPr>
      </w:pPr>
      <w:r>
        <w:rPr>
          <w:rFonts w:hint="eastAsia" w:ascii="Times New Roman" w:hAnsi="Times New Roman" w:eastAsia="黑体" w:cs="Times New Roman"/>
          <w:b/>
          <w:kern w:val="2"/>
          <w:sz w:val="28"/>
          <w:szCs w:val="22"/>
          <w:lang w:val="en-US" w:eastAsia="zh-CN" w:bidi="ar-SA"/>
        </w:rPr>
        <w:t>XX单位（盖章）</w:t>
      </w:r>
    </w:p>
    <w:p w14:paraId="43FBB3EC">
      <w:pPr>
        <w:spacing w:after="120"/>
        <w:ind w:firstLine="803"/>
        <w:jc w:val="center"/>
        <w:rPr>
          <w:rFonts w:ascii="Times New Roman" w:hAnsi="Times New Roman" w:eastAsia="黑体"/>
          <w:b/>
          <w:sz w:val="40"/>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1418" w:footer="851" w:gutter="0"/>
          <w:pgNumType w:fmt="lowerRoman" w:start="1"/>
          <w:cols w:space="720" w:num="1"/>
          <w:docGrid w:type="lines" w:linePitch="312" w:charSpace="0"/>
        </w:sectPr>
      </w:pPr>
      <w:r>
        <w:rPr>
          <w:rFonts w:ascii="Times New Roman" w:hAnsi="Times New Roman" w:eastAsia="黑体"/>
          <w:b/>
          <w:sz w:val="28"/>
          <w:szCs w:val="22"/>
        </w:rPr>
        <w:t>二〇二</w:t>
      </w:r>
      <w:r>
        <w:rPr>
          <w:rFonts w:hint="eastAsia" w:ascii="Times New Roman" w:hAnsi="Times New Roman" w:eastAsia="黑体"/>
          <w:b/>
          <w:sz w:val="28"/>
          <w:szCs w:val="22"/>
          <w:lang w:val="en-US" w:eastAsia="zh-CN"/>
        </w:rPr>
        <w:t>X</w:t>
      </w:r>
      <w:r>
        <w:rPr>
          <w:rFonts w:ascii="Times New Roman" w:hAnsi="Times New Roman" w:eastAsia="黑体"/>
          <w:b/>
          <w:sz w:val="28"/>
          <w:szCs w:val="22"/>
        </w:rPr>
        <w:t>年</w:t>
      </w:r>
      <w:r>
        <w:rPr>
          <w:rFonts w:hint="eastAsia" w:ascii="Times New Roman" w:hAnsi="Times New Roman" w:eastAsia="黑体"/>
          <w:b/>
          <w:sz w:val="28"/>
          <w:szCs w:val="22"/>
          <w:lang w:val="en-US" w:eastAsia="zh-CN"/>
        </w:rPr>
        <w:t>X</w:t>
      </w:r>
      <w:r>
        <w:rPr>
          <w:rFonts w:ascii="Times New Roman" w:hAnsi="Times New Roman" w:eastAsia="黑体"/>
          <w:b/>
          <w:sz w:val="28"/>
          <w:szCs w:val="22"/>
        </w:rPr>
        <w:t>月</w:t>
      </w:r>
    </w:p>
    <w:p w14:paraId="2EE1B3F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Cs w:val="32"/>
        </w:rPr>
      </w:pPr>
      <w:r>
        <w:rPr>
          <w:rFonts w:hint="eastAsia" w:ascii="仿宋_GB2312" w:hAnsi="仿宋_GB2312" w:eastAsia="仿宋_GB2312" w:cs="仿宋_GB2312"/>
          <w:b/>
          <w:bCs/>
          <w:szCs w:val="32"/>
          <w:lang w:eastAsia="zh-CN"/>
        </w:rPr>
        <w:t>一、</w:t>
      </w:r>
      <w:r>
        <w:rPr>
          <w:rFonts w:hint="eastAsia" w:ascii="仿宋_GB2312" w:hAnsi="仿宋_GB2312" w:eastAsia="仿宋_GB2312" w:cs="仿宋_GB2312"/>
          <w:b/>
          <w:bCs/>
          <w:szCs w:val="32"/>
        </w:rPr>
        <w:t>新产品概况</w:t>
      </w:r>
    </w:p>
    <w:p w14:paraId="7CC155B7">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对新产品技术原理、主要功能、技术性能指标、应用领域等内容的简</w:t>
      </w:r>
      <w:bookmarkStart w:id="56" w:name="_GoBack"/>
      <w:bookmarkEnd w:id="56"/>
      <w:r>
        <w:rPr>
          <w:rFonts w:hint="eastAsia" w:ascii="仿宋_GB2312" w:hAnsi="仿宋_GB2312" w:eastAsia="仿宋_GB2312" w:cs="仿宋_GB2312"/>
          <w:szCs w:val="32"/>
          <w:lang w:val="en-US" w:eastAsia="zh-CN"/>
        </w:rPr>
        <w:t>介。</w:t>
      </w:r>
    </w:p>
    <w:p w14:paraId="16EE4AF1">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textAlignment w:val="auto"/>
        <w:rPr>
          <w:rFonts w:hint="eastAsia" w:ascii="仿宋_GB2312" w:hAnsi="仿宋_GB2312" w:eastAsia="仿宋_GB2312" w:cs="仿宋_GB2312"/>
          <w:i/>
          <w:iCs/>
          <w:color w:val="0000FF"/>
          <w:sz w:val="28"/>
          <w:szCs w:val="28"/>
        </w:rPr>
      </w:pPr>
      <w:r>
        <w:rPr>
          <w:rFonts w:hint="eastAsia" w:ascii="仿宋_GB2312" w:hAnsi="仿宋_GB2312" w:eastAsia="仿宋_GB2312" w:cs="仿宋_GB2312"/>
          <w:i/>
          <w:iCs/>
          <w:color w:val="0000FF"/>
          <w:sz w:val="28"/>
          <w:szCs w:val="28"/>
          <w:lang w:eastAsia="zh-CN"/>
        </w:rPr>
        <w:t>【</w:t>
      </w:r>
      <w:r>
        <w:rPr>
          <w:rFonts w:hint="eastAsia" w:ascii="仿宋_GB2312" w:hAnsi="仿宋_GB2312" w:eastAsia="仿宋_GB2312" w:cs="仿宋_GB2312"/>
          <w:i/>
          <w:iCs/>
          <w:color w:val="0000FF"/>
          <w:sz w:val="28"/>
          <w:szCs w:val="28"/>
          <w:lang w:val="en-US" w:eastAsia="zh-CN"/>
        </w:rPr>
        <w:t>示例</w:t>
      </w:r>
      <w:r>
        <w:rPr>
          <w:rFonts w:hint="eastAsia" w:ascii="仿宋_GB2312" w:hAnsi="仿宋_GB2312" w:eastAsia="仿宋_GB2312" w:cs="仿宋_GB2312"/>
          <w:i/>
          <w:iCs/>
          <w:color w:val="0000FF"/>
          <w:sz w:val="28"/>
          <w:szCs w:val="28"/>
          <w:lang w:eastAsia="zh-CN"/>
        </w:rPr>
        <w:t>】</w:t>
      </w:r>
      <w:r>
        <w:rPr>
          <w:rFonts w:hint="eastAsia" w:ascii="仿宋_GB2312" w:hAnsi="仿宋_GB2312" w:eastAsia="仿宋_GB2312" w:cs="仿宋_GB2312"/>
          <w:i/>
          <w:iCs/>
          <w:color w:val="0000FF"/>
          <w:sz w:val="28"/>
          <w:szCs w:val="28"/>
        </w:rPr>
        <w:t>随着我国经济和城镇化的快速发展，用电量在不断增长，对线路传输容量的需求也日益增长。由于高温超导材料在液氮温区的传输电流密度比普通导体高两个数量级以上，且采用环境友好、无污染和火灾隐患的液氮作为冷却介质，使得高温超导电缆在提升电网传输容量、升级现有电力系统中都具有重大的应用前景。</w:t>
      </w:r>
    </w:p>
    <w:p w14:paraId="071B6AC7">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textAlignment w:val="auto"/>
        <w:rPr>
          <w:rFonts w:hint="eastAsia" w:ascii="仿宋_GB2312" w:hAnsi="仿宋_GB2312" w:eastAsia="仿宋_GB2312" w:cs="仿宋_GB2312"/>
          <w:i/>
          <w:iCs/>
          <w:color w:val="0000FF"/>
          <w:sz w:val="28"/>
          <w:szCs w:val="28"/>
        </w:rPr>
      </w:pPr>
      <w:r>
        <w:rPr>
          <w:rFonts w:hint="eastAsia" w:ascii="仿宋_GB2312" w:hAnsi="仿宋_GB2312" w:eastAsia="仿宋_GB2312" w:cs="仿宋_GB2312"/>
          <w:i/>
          <w:iCs/>
          <w:color w:val="0000FF"/>
          <w:sz w:val="28"/>
          <w:szCs w:val="28"/>
        </w:rPr>
        <w:t>超导电缆主要由超导电缆</w:t>
      </w:r>
      <w:r>
        <w:rPr>
          <w:rFonts w:hint="eastAsia" w:ascii="仿宋_GB2312" w:hAnsi="仿宋_GB2312" w:eastAsia="仿宋_GB2312" w:cs="仿宋_GB2312"/>
          <w:i/>
          <w:iCs/>
          <w:color w:val="0000FF"/>
          <w:sz w:val="28"/>
          <w:szCs w:val="28"/>
          <w:lang w:eastAsia="zh-CN"/>
        </w:rPr>
        <w:t>本体</w:t>
      </w:r>
      <w:r>
        <w:rPr>
          <w:rFonts w:hint="eastAsia" w:ascii="仿宋_GB2312" w:hAnsi="仿宋_GB2312" w:eastAsia="仿宋_GB2312" w:cs="仿宋_GB2312"/>
          <w:i/>
          <w:iCs/>
          <w:color w:val="0000FF"/>
          <w:sz w:val="28"/>
          <w:szCs w:val="28"/>
        </w:rPr>
        <w:t>、制冷系统及</w:t>
      </w:r>
      <w:r>
        <w:rPr>
          <w:rFonts w:hint="eastAsia" w:ascii="仿宋_GB2312" w:hAnsi="仿宋_GB2312" w:eastAsia="仿宋_GB2312" w:cs="仿宋_GB2312"/>
          <w:i/>
          <w:iCs/>
          <w:color w:val="0000FF"/>
          <w:sz w:val="28"/>
          <w:szCs w:val="28"/>
          <w:lang w:eastAsia="zh-CN"/>
        </w:rPr>
        <w:t>监控</w:t>
      </w:r>
      <w:r>
        <w:rPr>
          <w:rFonts w:hint="eastAsia" w:ascii="仿宋_GB2312" w:hAnsi="仿宋_GB2312" w:eastAsia="仿宋_GB2312" w:cs="仿宋_GB2312"/>
          <w:i/>
          <w:iCs/>
          <w:color w:val="0000FF"/>
          <w:sz w:val="28"/>
          <w:szCs w:val="28"/>
        </w:rPr>
        <w:t>保护系统构成，各部分技术原理及</w:t>
      </w:r>
      <w:r>
        <w:rPr>
          <w:rFonts w:hint="eastAsia" w:ascii="仿宋_GB2312" w:hAnsi="仿宋_GB2312" w:eastAsia="仿宋_GB2312" w:cs="仿宋_GB2312"/>
          <w:i/>
          <w:iCs/>
          <w:color w:val="0000FF"/>
          <w:sz w:val="28"/>
          <w:szCs w:val="28"/>
          <w:lang w:eastAsia="zh-CN"/>
        </w:rPr>
        <w:t>主要</w:t>
      </w:r>
      <w:r>
        <w:rPr>
          <w:rFonts w:hint="eastAsia" w:ascii="仿宋_GB2312" w:hAnsi="仿宋_GB2312" w:eastAsia="仿宋_GB2312" w:cs="仿宋_GB2312"/>
          <w:i/>
          <w:iCs/>
          <w:color w:val="0000FF"/>
          <w:sz w:val="28"/>
          <w:szCs w:val="28"/>
        </w:rPr>
        <w:t>性能指标如下所述：</w:t>
      </w:r>
    </w:p>
    <w:p w14:paraId="626250A5">
      <w:pPr>
        <w:keepNext w:val="0"/>
        <w:keepLines w:val="0"/>
        <w:pageBreakBefore w:val="0"/>
        <w:widowControl w:val="0"/>
        <w:kinsoku/>
        <w:wordWrap/>
        <w:overflowPunct/>
        <w:topLinePunct w:val="0"/>
        <w:autoSpaceDE/>
        <w:autoSpaceDN/>
        <w:bidi w:val="0"/>
        <w:adjustRightInd/>
        <w:spacing w:line="560" w:lineRule="exact"/>
        <w:ind w:left="0" w:leftChars="0" w:firstLine="562" w:firstLineChars="200"/>
        <w:textAlignment w:val="auto"/>
        <w:rPr>
          <w:rFonts w:hint="eastAsia" w:ascii="仿宋_GB2312" w:hAnsi="仿宋_GB2312" w:eastAsia="仿宋_GB2312" w:cs="仿宋_GB2312"/>
          <w:b/>
          <w:bCs/>
          <w:i/>
          <w:iCs/>
          <w:color w:val="0000FF"/>
          <w:sz w:val="28"/>
          <w:szCs w:val="28"/>
          <w:lang w:val="en-US" w:eastAsia="zh-CN"/>
        </w:rPr>
      </w:pPr>
      <w:r>
        <w:rPr>
          <w:rFonts w:hint="eastAsia" w:ascii="仿宋_GB2312" w:hAnsi="仿宋_GB2312" w:eastAsia="仿宋_GB2312" w:cs="仿宋_GB2312"/>
          <w:b/>
          <w:bCs/>
          <w:i/>
          <w:iCs/>
          <w:color w:val="0000FF"/>
          <w:sz w:val="28"/>
          <w:szCs w:val="28"/>
          <w:lang w:eastAsia="zh-CN"/>
        </w:rPr>
        <w:t>（</w:t>
      </w:r>
      <w:r>
        <w:rPr>
          <w:rFonts w:hint="eastAsia" w:ascii="仿宋_GB2312" w:hAnsi="仿宋_GB2312" w:eastAsia="仿宋_GB2312" w:cs="仿宋_GB2312"/>
          <w:b/>
          <w:bCs/>
          <w:i/>
          <w:iCs/>
          <w:color w:val="0000FF"/>
          <w:sz w:val="28"/>
          <w:szCs w:val="28"/>
          <w:lang w:val="en-US" w:eastAsia="zh-CN"/>
        </w:rPr>
        <w:t>一）</w:t>
      </w:r>
      <w:r>
        <w:rPr>
          <w:rFonts w:hint="eastAsia" w:ascii="仿宋_GB2312" w:hAnsi="仿宋_GB2312" w:eastAsia="仿宋_GB2312" w:cs="仿宋_GB2312"/>
          <w:b/>
          <w:bCs/>
          <w:i/>
          <w:iCs/>
          <w:color w:val="0000FF"/>
          <w:sz w:val="28"/>
          <w:szCs w:val="28"/>
        </w:rPr>
        <w:t>超导电缆</w:t>
      </w:r>
      <w:r>
        <w:rPr>
          <w:rFonts w:hint="eastAsia" w:ascii="仿宋_GB2312" w:hAnsi="仿宋_GB2312" w:eastAsia="仿宋_GB2312" w:cs="仿宋_GB2312"/>
          <w:b/>
          <w:bCs/>
          <w:i/>
          <w:iCs/>
          <w:color w:val="0000FF"/>
          <w:sz w:val="28"/>
          <w:szCs w:val="28"/>
          <w:lang w:eastAsia="zh-CN"/>
        </w:rPr>
        <w:t>本体</w:t>
      </w:r>
    </w:p>
    <w:p w14:paraId="6471F559">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textAlignment w:val="auto"/>
        <w:rPr>
          <w:rFonts w:hint="eastAsia" w:ascii="仿宋_GB2312" w:hAnsi="仿宋_GB2312" w:eastAsia="仿宋_GB2312" w:cs="仿宋_GB2312"/>
          <w:i/>
          <w:iCs/>
          <w:color w:val="0000FF"/>
          <w:sz w:val="28"/>
          <w:szCs w:val="28"/>
        </w:rPr>
      </w:pPr>
      <w:r>
        <w:rPr>
          <w:rFonts w:hint="eastAsia" w:ascii="仿宋_GB2312" w:hAnsi="仿宋_GB2312" w:eastAsia="仿宋_GB2312" w:cs="仿宋_GB2312"/>
          <w:i/>
          <w:iCs/>
          <w:color w:val="0000FF"/>
          <w:sz w:val="28"/>
          <w:szCs w:val="28"/>
        </w:rPr>
        <w:t>超导体的零电阻、高电流密度特性</w:t>
      </w:r>
      <w:r>
        <w:rPr>
          <w:rFonts w:hint="eastAsia" w:ascii="仿宋_GB2312" w:hAnsi="仿宋_GB2312" w:eastAsia="仿宋_GB2312" w:cs="仿宋_GB2312"/>
          <w:i/>
          <w:iCs/>
          <w:color w:val="0000FF"/>
          <w:sz w:val="28"/>
          <w:szCs w:val="28"/>
          <w:lang w:eastAsia="zh-CN"/>
        </w:rPr>
        <w:t>，使得在</w:t>
      </w:r>
      <w:r>
        <w:rPr>
          <w:rFonts w:hint="eastAsia" w:ascii="仿宋_GB2312" w:hAnsi="仿宋_GB2312" w:eastAsia="仿宋_GB2312" w:cs="仿宋_GB2312"/>
          <w:i/>
          <w:iCs/>
          <w:color w:val="0000FF"/>
          <w:sz w:val="28"/>
          <w:szCs w:val="28"/>
        </w:rPr>
        <w:t>同等截面下，超导电缆的传输容量可达常规铜铝导线的5倍以上，且损耗几乎为零。</w:t>
      </w:r>
    </w:p>
    <w:p w14:paraId="37DDAF3C">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textAlignment w:val="auto"/>
        <w:rPr>
          <w:rFonts w:ascii="Times New Roman" w:hAnsi="Times New Roman" w:eastAsia="宋体"/>
          <w:i/>
          <w:iCs/>
          <w:color w:val="0000FF"/>
          <w:sz w:val="22"/>
          <w:szCs w:val="22"/>
        </w:rPr>
      </w:pPr>
      <w:r>
        <w:rPr>
          <w:rFonts w:hint="eastAsia" w:ascii="仿宋_GB2312" w:hAnsi="仿宋_GB2312" w:eastAsia="仿宋_GB2312" w:cs="仿宋_GB2312"/>
          <w:i/>
          <w:iCs/>
          <w:color w:val="0000FF"/>
          <w:sz w:val="28"/>
          <w:szCs w:val="28"/>
        </w:rPr>
        <w:t>性能指标：400m</w:t>
      </w:r>
      <w:r>
        <w:rPr>
          <w:rFonts w:hint="eastAsia" w:ascii="仿宋_GB2312" w:hAnsi="仿宋_GB2312" w:eastAsia="仿宋_GB2312" w:cs="仿宋_GB2312"/>
          <w:i/>
          <w:iCs/>
          <w:color w:val="0000FF"/>
          <w:sz w:val="28"/>
          <w:szCs w:val="28"/>
          <w:lang w:eastAsia="zh-CN"/>
        </w:rPr>
        <w:t>级</w:t>
      </w:r>
      <w:r>
        <w:rPr>
          <w:rFonts w:hint="eastAsia" w:ascii="仿宋_GB2312" w:hAnsi="仿宋_GB2312" w:eastAsia="仿宋_GB2312" w:cs="仿宋_GB2312"/>
          <w:i/>
          <w:iCs/>
          <w:color w:val="0000FF"/>
          <w:sz w:val="28"/>
          <w:szCs w:val="28"/>
        </w:rPr>
        <w:t>三相同轴</w:t>
      </w:r>
      <w:r>
        <w:rPr>
          <w:rFonts w:hint="eastAsia" w:ascii="仿宋_GB2312" w:hAnsi="仿宋_GB2312" w:eastAsia="仿宋_GB2312" w:cs="仿宋_GB2312"/>
          <w:i/>
          <w:iCs/>
          <w:color w:val="0000FF"/>
          <w:sz w:val="28"/>
          <w:szCs w:val="28"/>
          <w:lang w:eastAsia="zh-CN"/>
        </w:rPr>
        <w:t>结构，</w:t>
      </w:r>
      <w:r>
        <w:rPr>
          <w:rFonts w:hint="eastAsia" w:ascii="仿宋_GB2312" w:hAnsi="仿宋_GB2312" w:eastAsia="仿宋_GB2312" w:cs="仿宋_GB2312"/>
          <w:i/>
          <w:iCs/>
          <w:color w:val="0000FF"/>
          <w:sz w:val="28"/>
          <w:szCs w:val="28"/>
        </w:rPr>
        <w:t>10kV/2.5kA/43MVA</w:t>
      </w:r>
      <w:r>
        <w:rPr>
          <w:rFonts w:hint="eastAsia" w:ascii="Times New Roman" w:hAnsi="Times New Roman" w:eastAsia="宋体"/>
          <w:i/>
          <w:iCs/>
          <w:color w:val="0000FF"/>
          <w:sz w:val="22"/>
          <w:szCs w:val="22"/>
        </w:rPr>
        <w:t>。</w:t>
      </w:r>
    </w:p>
    <w:p w14:paraId="3D00175A">
      <w:pPr>
        <w:keepNext w:val="0"/>
        <w:keepLines w:val="0"/>
        <w:pageBreakBefore w:val="0"/>
        <w:widowControl w:val="0"/>
        <w:kinsoku/>
        <w:wordWrap/>
        <w:overflowPunct/>
        <w:topLinePunct w:val="0"/>
        <w:autoSpaceDE/>
        <w:autoSpaceDN/>
        <w:bidi w:val="0"/>
        <w:adjustRightInd/>
        <w:spacing w:line="560" w:lineRule="exact"/>
        <w:ind w:left="0" w:leftChars="0" w:firstLine="440" w:firstLineChars="200"/>
        <w:jc w:val="center"/>
        <w:textAlignment w:val="auto"/>
        <w:rPr>
          <w:rFonts w:hint="eastAsia" w:asciiTheme="minorEastAsia" w:hAnsiTheme="minorEastAsia" w:eastAsiaTheme="minorEastAsia" w:cstheme="minorEastAsia"/>
          <w:i/>
          <w:iCs/>
          <w:color w:val="0000FF"/>
          <w:sz w:val="22"/>
          <w:szCs w:val="22"/>
        </w:rPr>
      </w:pPr>
      <w:r>
        <w:rPr>
          <w:rFonts w:hint="eastAsia" w:asciiTheme="minorEastAsia" w:hAnsiTheme="minorEastAsia" w:eastAsiaTheme="minorEastAsia" w:cstheme="minorEastAsia"/>
          <w:i/>
          <w:iCs/>
          <w:color w:val="0000FF"/>
          <w:sz w:val="22"/>
          <w:szCs w:val="22"/>
        </w:rPr>
        <w:t>表1  超导电缆基本参数要求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2784"/>
        <w:gridCol w:w="784"/>
        <w:gridCol w:w="1568"/>
        <w:gridCol w:w="1883"/>
      </w:tblGrid>
      <w:tr w14:paraId="73E25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40" w:type="dxa"/>
            <w:noWrap w:val="0"/>
            <w:vAlign w:val="center"/>
          </w:tcPr>
          <w:p w14:paraId="6FACB04B">
            <w:pPr>
              <w:snapToGrid w:val="0"/>
              <w:spacing w:line="360" w:lineRule="auto"/>
              <w:jc w:val="center"/>
              <w:rPr>
                <w:rFonts w:ascii="宋体" w:hAnsi="宋体" w:eastAsia="宋体"/>
                <w:b/>
                <w:i/>
                <w:iCs/>
                <w:color w:val="0000FF"/>
                <w:sz w:val="20"/>
                <w:szCs w:val="20"/>
              </w:rPr>
            </w:pPr>
            <w:r>
              <w:rPr>
                <w:rFonts w:ascii="宋体" w:hAnsi="宋体" w:eastAsia="宋体"/>
                <w:b/>
                <w:i/>
                <w:iCs/>
                <w:color w:val="0000FF"/>
                <w:sz w:val="20"/>
                <w:szCs w:val="20"/>
              </w:rPr>
              <w:t>序号</w:t>
            </w:r>
          </w:p>
        </w:tc>
        <w:tc>
          <w:tcPr>
            <w:tcW w:w="2784" w:type="dxa"/>
            <w:noWrap w:val="0"/>
            <w:vAlign w:val="center"/>
          </w:tcPr>
          <w:p w14:paraId="67E42B9A">
            <w:pPr>
              <w:snapToGrid w:val="0"/>
              <w:spacing w:line="360" w:lineRule="auto"/>
              <w:jc w:val="center"/>
              <w:rPr>
                <w:rFonts w:ascii="宋体" w:hAnsi="宋体" w:eastAsia="宋体"/>
                <w:b/>
                <w:i/>
                <w:iCs/>
                <w:color w:val="0000FF"/>
                <w:sz w:val="20"/>
                <w:szCs w:val="20"/>
              </w:rPr>
            </w:pPr>
            <w:r>
              <w:rPr>
                <w:rFonts w:ascii="宋体" w:hAnsi="宋体" w:eastAsia="宋体"/>
                <w:b/>
                <w:i/>
                <w:iCs/>
                <w:color w:val="0000FF"/>
                <w:sz w:val="20"/>
                <w:szCs w:val="20"/>
              </w:rPr>
              <w:t>参数名称</w:t>
            </w:r>
          </w:p>
        </w:tc>
        <w:tc>
          <w:tcPr>
            <w:tcW w:w="784" w:type="dxa"/>
            <w:noWrap w:val="0"/>
            <w:vAlign w:val="center"/>
          </w:tcPr>
          <w:p w14:paraId="2FBF9679">
            <w:pPr>
              <w:snapToGrid w:val="0"/>
              <w:spacing w:line="360" w:lineRule="auto"/>
              <w:jc w:val="center"/>
              <w:rPr>
                <w:rFonts w:ascii="宋体" w:hAnsi="宋体" w:eastAsia="宋体"/>
                <w:b/>
                <w:i/>
                <w:iCs/>
                <w:color w:val="0000FF"/>
                <w:sz w:val="20"/>
                <w:szCs w:val="20"/>
              </w:rPr>
            </w:pPr>
            <w:r>
              <w:rPr>
                <w:rFonts w:ascii="宋体" w:hAnsi="宋体" w:eastAsia="宋体"/>
                <w:b/>
                <w:i/>
                <w:iCs/>
                <w:color w:val="0000FF"/>
                <w:sz w:val="20"/>
                <w:szCs w:val="20"/>
              </w:rPr>
              <w:t>单位</w:t>
            </w:r>
          </w:p>
        </w:tc>
        <w:tc>
          <w:tcPr>
            <w:tcW w:w="1568" w:type="dxa"/>
            <w:noWrap w:val="0"/>
            <w:vAlign w:val="center"/>
          </w:tcPr>
          <w:p w14:paraId="630F8935">
            <w:pPr>
              <w:snapToGrid w:val="0"/>
              <w:spacing w:line="360" w:lineRule="auto"/>
              <w:jc w:val="center"/>
              <w:rPr>
                <w:rFonts w:ascii="宋体" w:hAnsi="宋体" w:eastAsia="宋体"/>
                <w:b/>
                <w:i/>
                <w:iCs/>
                <w:color w:val="0000FF"/>
                <w:sz w:val="20"/>
                <w:szCs w:val="20"/>
              </w:rPr>
            </w:pPr>
            <w:r>
              <w:rPr>
                <w:rFonts w:ascii="宋体" w:hAnsi="宋体" w:eastAsia="宋体"/>
                <w:b/>
                <w:i/>
                <w:iCs/>
                <w:color w:val="0000FF"/>
                <w:sz w:val="20"/>
                <w:szCs w:val="20"/>
              </w:rPr>
              <w:t>数值</w:t>
            </w:r>
          </w:p>
        </w:tc>
        <w:tc>
          <w:tcPr>
            <w:tcW w:w="1883" w:type="dxa"/>
            <w:noWrap w:val="0"/>
            <w:vAlign w:val="center"/>
          </w:tcPr>
          <w:p w14:paraId="647D6F84">
            <w:pPr>
              <w:snapToGrid w:val="0"/>
              <w:spacing w:line="360" w:lineRule="auto"/>
              <w:jc w:val="center"/>
              <w:rPr>
                <w:rFonts w:ascii="宋体" w:hAnsi="宋体" w:eastAsia="宋体"/>
                <w:b/>
                <w:i/>
                <w:iCs/>
                <w:color w:val="0000FF"/>
                <w:sz w:val="20"/>
                <w:szCs w:val="20"/>
              </w:rPr>
            </w:pPr>
            <w:r>
              <w:rPr>
                <w:rFonts w:ascii="宋体" w:hAnsi="宋体" w:eastAsia="宋体"/>
                <w:b/>
                <w:i/>
                <w:iCs/>
                <w:color w:val="0000FF"/>
                <w:sz w:val="20"/>
                <w:szCs w:val="20"/>
              </w:rPr>
              <w:t>备注</w:t>
            </w:r>
          </w:p>
        </w:tc>
      </w:tr>
      <w:tr w14:paraId="4E45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0" w:type="dxa"/>
            <w:noWrap w:val="0"/>
            <w:vAlign w:val="center"/>
          </w:tcPr>
          <w:p w14:paraId="685C8D9A">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w:t>
            </w:r>
          </w:p>
        </w:tc>
        <w:tc>
          <w:tcPr>
            <w:tcW w:w="2784" w:type="dxa"/>
            <w:noWrap w:val="0"/>
            <w:vAlign w:val="center"/>
          </w:tcPr>
          <w:p w14:paraId="33A50179">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额定电压U</w:t>
            </w:r>
          </w:p>
        </w:tc>
        <w:tc>
          <w:tcPr>
            <w:tcW w:w="784" w:type="dxa"/>
            <w:noWrap w:val="0"/>
            <w:vAlign w:val="center"/>
          </w:tcPr>
          <w:p w14:paraId="2C350086">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kV</w:t>
            </w:r>
          </w:p>
        </w:tc>
        <w:tc>
          <w:tcPr>
            <w:tcW w:w="1568" w:type="dxa"/>
            <w:noWrap w:val="0"/>
            <w:vAlign w:val="center"/>
          </w:tcPr>
          <w:p w14:paraId="166681E8">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10</w:t>
            </w:r>
          </w:p>
        </w:tc>
        <w:tc>
          <w:tcPr>
            <w:tcW w:w="1883" w:type="dxa"/>
            <w:noWrap w:val="0"/>
            <w:vAlign w:val="center"/>
          </w:tcPr>
          <w:p w14:paraId="47BF0B78">
            <w:pPr>
              <w:snapToGrid w:val="0"/>
              <w:spacing w:line="360" w:lineRule="auto"/>
              <w:jc w:val="center"/>
              <w:rPr>
                <w:rFonts w:ascii="宋体" w:hAnsi="宋体" w:eastAsia="宋体"/>
                <w:i/>
                <w:iCs/>
                <w:color w:val="0000FF"/>
                <w:sz w:val="20"/>
                <w:szCs w:val="20"/>
              </w:rPr>
            </w:pPr>
          </w:p>
        </w:tc>
      </w:tr>
      <w:tr w14:paraId="0E496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0" w:type="dxa"/>
            <w:noWrap w:val="0"/>
            <w:vAlign w:val="center"/>
          </w:tcPr>
          <w:p w14:paraId="3034638E">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2</w:t>
            </w:r>
          </w:p>
        </w:tc>
        <w:tc>
          <w:tcPr>
            <w:tcW w:w="2784" w:type="dxa"/>
            <w:noWrap w:val="0"/>
            <w:vAlign w:val="center"/>
          </w:tcPr>
          <w:p w14:paraId="5AE0E26F">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最高连续运行电压Um</w:t>
            </w:r>
          </w:p>
        </w:tc>
        <w:tc>
          <w:tcPr>
            <w:tcW w:w="784" w:type="dxa"/>
            <w:noWrap w:val="0"/>
            <w:vAlign w:val="center"/>
          </w:tcPr>
          <w:p w14:paraId="297A1DBF">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kV</w:t>
            </w:r>
          </w:p>
        </w:tc>
        <w:tc>
          <w:tcPr>
            <w:tcW w:w="1568" w:type="dxa"/>
            <w:noWrap w:val="0"/>
            <w:vAlign w:val="center"/>
          </w:tcPr>
          <w:p w14:paraId="206993DF">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12</w:t>
            </w:r>
          </w:p>
        </w:tc>
        <w:tc>
          <w:tcPr>
            <w:tcW w:w="1883" w:type="dxa"/>
            <w:noWrap w:val="0"/>
            <w:vAlign w:val="center"/>
          </w:tcPr>
          <w:p w14:paraId="088D36DA">
            <w:pPr>
              <w:snapToGrid w:val="0"/>
              <w:spacing w:line="360" w:lineRule="auto"/>
              <w:jc w:val="center"/>
              <w:rPr>
                <w:rFonts w:ascii="宋体" w:hAnsi="宋体" w:eastAsia="宋体"/>
                <w:i/>
                <w:iCs/>
                <w:color w:val="0000FF"/>
                <w:sz w:val="20"/>
                <w:szCs w:val="20"/>
              </w:rPr>
            </w:pPr>
          </w:p>
        </w:tc>
      </w:tr>
      <w:tr w14:paraId="7926E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40" w:type="dxa"/>
            <w:noWrap w:val="0"/>
            <w:vAlign w:val="center"/>
          </w:tcPr>
          <w:p w14:paraId="20FF598A">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3</w:t>
            </w:r>
          </w:p>
        </w:tc>
        <w:tc>
          <w:tcPr>
            <w:tcW w:w="2784" w:type="dxa"/>
            <w:noWrap w:val="0"/>
            <w:vAlign w:val="center"/>
          </w:tcPr>
          <w:p w14:paraId="534BDAA8">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短时交流耐受电压（相对地）</w:t>
            </w:r>
          </w:p>
        </w:tc>
        <w:tc>
          <w:tcPr>
            <w:tcW w:w="784" w:type="dxa"/>
            <w:noWrap w:val="0"/>
            <w:vAlign w:val="center"/>
          </w:tcPr>
          <w:p w14:paraId="05736CA2">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kV</w:t>
            </w:r>
          </w:p>
        </w:tc>
        <w:tc>
          <w:tcPr>
            <w:tcW w:w="1568" w:type="dxa"/>
            <w:noWrap w:val="0"/>
            <w:vAlign w:val="center"/>
          </w:tcPr>
          <w:p w14:paraId="45A60850">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15</w:t>
            </w:r>
          </w:p>
        </w:tc>
        <w:tc>
          <w:tcPr>
            <w:tcW w:w="1883" w:type="dxa"/>
            <w:noWrap w:val="0"/>
            <w:vAlign w:val="center"/>
          </w:tcPr>
          <w:p w14:paraId="66726455">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30min</w:t>
            </w:r>
          </w:p>
        </w:tc>
      </w:tr>
      <w:tr w14:paraId="56B1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40" w:type="dxa"/>
            <w:noWrap w:val="0"/>
            <w:vAlign w:val="center"/>
          </w:tcPr>
          <w:p w14:paraId="0D740D2F">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4</w:t>
            </w:r>
          </w:p>
        </w:tc>
        <w:tc>
          <w:tcPr>
            <w:tcW w:w="2784" w:type="dxa"/>
            <w:noWrap w:val="0"/>
            <w:vAlign w:val="center"/>
          </w:tcPr>
          <w:p w14:paraId="562FEC4F">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短时交流耐受电压（相对相）</w:t>
            </w:r>
          </w:p>
        </w:tc>
        <w:tc>
          <w:tcPr>
            <w:tcW w:w="784" w:type="dxa"/>
            <w:noWrap w:val="0"/>
            <w:vAlign w:val="center"/>
          </w:tcPr>
          <w:p w14:paraId="6F937696">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kV</w:t>
            </w:r>
          </w:p>
        </w:tc>
        <w:tc>
          <w:tcPr>
            <w:tcW w:w="1568" w:type="dxa"/>
            <w:noWrap w:val="0"/>
            <w:vAlign w:val="center"/>
          </w:tcPr>
          <w:p w14:paraId="11E8DD30">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26</w:t>
            </w:r>
          </w:p>
        </w:tc>
        <w:tc>
          <w:tcPr>
            <w:tcW w:w="1883" w:type="dxa"/>
            <w:noWrap w:val="0"/>
            <w:vAlign w:val="center"/>
          </w:tcPr>
          <w:p w14:paraId="02A81B0E">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30min</w:t>
            </w:r>
          </w:p>
        </w:tc>
      </w:tr>
      <w:tr w14:paraId="1F61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40" w:type="dxa"/>
            <w:noWrap w:val="0"/>
            <w:vAlign w:val="center"/>
          </w:tcPr>
          <w:p w14:paraId="726621C6">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5</w:t>
            </w:r>
          </w:p>
        </w:tc>
        <w:tc>
          <w:tcPr>
            <w:tcW w:w="2784" w:type="dxa"/>
            <w:noWrap w:val="0"/>
            <w:vAlign w:val="center"/>
          </w:tcPr>
          <w:p w14:paraId="392E5150">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雷电冲击耐受电压</w:t>
            </w:r>
          </w:p>
        </w:tc>
        <w:tc>
          <w:tcPr>
            <w:tcW w:w="784" w:type="dxa"/>
            <w:noWrap w:val="0"/>
            <w:vAlign w:val="center"/>
          </w:tcPr>
          <w:p w14:paraId="7C636A05">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kV</w:t>
            </w:r>
          </w:p>
        </w:tc>
        <w:tc>
          <w:tcPr>
            <w:tcW w:w="1568" w:type="dxa"/>
            <w:noWrap w:val="0"/>
            <w:vAlign w:val="center"/>
          </w:tcPr>
          <w:p w14:paraId="471500B0">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75</w:t>
            </w:r>
          </w:p>
        </w:tc>
        <w:tc>
          <w:tcPr>
            <w:tcW w:w="1883" w:type="dxa"/>
            <w:noWrap w:val="0"/>
            <w:vAlign w:val="center"/>
          </w:tcPr>
          <w:p w14:paraId="519BAC5C">
            <w:pPr>
              <w:snapToGrid w:val="0"/>
              <w:spacing w:line="360" w:lineRule="auto"/>
              <w:jc w:val="center"/>
              <w:rPr>
                <w:rFonts w:ascii="宋体" w:hAnsi="宋体" w:eastAsia="宋体"/>
                <w:i/>
                <w:iCs/>
                <w:color w:val="0000FF"/>
                <w:sz w:val="20"/>
                <w:szCs w:val="20"/>
              </w:rPr>
            </w:pPr>
            <w:r>
              <w:rPr>
                <w:rFonts w:hint="eastAsia" w:ascii="宋体" w:hAnsi="宋体" w:eastAsia="宋体"/>
                <w:i/>
                <w:iCs/>
                <w:color w:val="0000FF"/>
                <w:sz w:val="20"/>
                <w:szCs w:val="20"/>
              </w:rPr>
              <w:t>正负极性各1</w:t>
            </w:r>
            <w:r>
              <w:rPr>
                <w:rFonts w:ascii="宋体" w:hAnsi="宋体" w:eastAsia="宋体"/>
                <w:i/>
                <w:iCs/>
                <w:color w:val="0000FF"/>
                <w:sz w:val="20"/>
                <w:szCs w:val="20"/>
              </w:rPr>
              <w:t>0</w:t>
            </w:r>
            <w:r>
              <w:rPr>
                <w:rFonts w:hint="eastAsia" w:ascii="宋体" w:hAnsi="宋体" w:eastAsia="宋体"/>
                <w:i/>
                <w:iCs/>
                <w:color w:val="0000FF"/>
                <w:sz w:val="20"/>
                <w:szCs w:val="20"/>
              </w:rPr>
              <w:t>次</w:t>
            </w:r>
          </w:p>
        </w:tc>
      </w:tr>
      <w:tr w14:paraId="506A4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0" w:type="dxa"/>
            <w:noWrap w:val="0"/>
            <w:vAlign w:val="center"/>
          </w:tcPr>
          <w:p w14:paraId="11843F41">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6</w:t>
            </w:r>
          </w:p>
        </w:tc>
        <w:tc>
          <w:tcPr>
            <w:tcW w:w="2784" w:type="dxa"/>
            <w:noWrap w:val="0"/>
            <w:vAlign w:val="center"/>
          </w:tcPr>
          <w:p w14:paraId="7EBD6331">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额定电流</w:t>
            </w:r>
          </w:p>
        </w:tc>
        <w:tc>
          <w:tcPr>
            <w:tcW w:w="784" w:type="dxa"/>
            <w:noWrap w:val="0"/>
            <w:vAlign w:val="center"/>
          </w:tcPr>
          <w:p w14:paraId="7017366D">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kA</w:t>
            </w:r>
          </w:p>
        </w:tc>
        <w:tc>
          <w:tcPr>
            <w:tcW w:w="1568" w:type="dxa"/>
            <w:noWrap w:val="0"/>
            <w:vAlign w:val="center"/>
          </w:tcPr>
          <w:p w14:paraId="0B3F4E40">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2.5</w:t>
            </w:r>
          </w:p>
        </w:tc>
        <w:tc>
          <w:tcPr>
            <w:tcW w:w="1883" w:type="dxa"/>
            <w:noWrap w:val="0"/>
            <w:vAlign w:val="center"/>
          </w:tcPr>
          <w:p w14:paraId="3E2640C7">
            <w:pPr>
              <w:snapToGrid w:val="0"/>
              <w:spacing w:line="360" w:lineRule="auto"/>
              <w:jc w:val="center"/>
              <w:rPr>
                <w:rFonts w:ascii="宋体" w:hAnsi="宋体" w:eastAsia="宋体"/>
                <w:i/>
                <w:iCs/>
                <w:color w:val="0000FF"/>
                <w:sz w:val="20"/>
                <w:szCs w:val="20"/>
              </w:rPr>
            </w:pPr>
          </w:p>
        </w:tc>
      </w:tr>
      <w:tr w14:paraId="41EF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0" w:type="dxa"/>
            <w:noWrap w:val="0"/>
            <w:vAlign w:val="center"/>
          </w:tcPr>
          <w:p w14:paraId="22441D9F">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7</w:t>
            </w:r>
          </w:p>
        </w:tc>
        <w:tc>
          <w:tcPr>
            <w:tcW w:w="2784" w:type="dxa"/>
            <w:noWrap w:val="0"/>
            <w:vAlign w:val="center"/>
          </w:tcPr>
          <w:p w14:paraId="11D6E667">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正常运行温度区间</w:t>
            </w:r>
          </w:p>
        </w:tc>
        <w:tc>
          <w:tcPr>
            <w:tcW w:w="784" w:type="dxa"/>
            <w:noWrap w:val="0"/>
            <w:vAlign w:val="center"/>
          </w:tcPr>
          <w:p w14:paraId="2A4B229C">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K</w:t>
            </w:r>
          </w:p>
        </w:tc>
        <w:tc>
          <w:tcPr>
            <w:tcW w:w="1568" w:type="dxa"/>
            <w:noWrap w:val="0"/>
            <w:vAlign w:val="center"/>
          </w:tcPr>
          <w:p w14:paraId="0F50A249">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70-77.3</w:t>
            </w:r>
          </w:p>
        </w:tc>
        <w:tc>
          <w:tcPr>
            <w:tcW w:w="1883" w:type="dxa"/>
            <w:noWrap w:val="0"/>
            <w:vAlign w:val="center"/>
          </w:tcPr>
          <w:p w14:paraId="61219C64">
            <w:pPr>
              <w:snapToGrid w:val="0"/>
              <w:spacing w:line="360" w:lineRule="auto"/>
              <w:jc w:val="center"/>
              <w:rPr>
                <w:rFonts w:ascii="宋体" w:hAnsi="宋体" w:eastAsia="宋体"/>
                <w:i/>
                <w:iCs/>
                <w:color w:val="0000FF"/>
                <w:sz w:val="20"/>
                <w:szCs w:val="20"/>
              </w:rPr>
            </w:pPr>
          </w:p>
        </w:tc>
      </w:tr>
      <w:tr w14:paraId="3B67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0" w:type="dxa"/>
            <w:noWrap w:val="0"/>
            <w:vAlign w:val="center"/>
          </w:tcPr>
          <w:p w14:paraId="4D955DC0">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8</w:t>
            </w:r>
          </w:p>
        </w:tc>
        <w:tc>
          <w:tcPr>
            <w:tcW w:w="2784" w:type="dxa"/>
            <w:noWrap w:val="0"/>
            <w:vAlign w:val="center"/>
          </w:tcPr>
          <w:p w14:paraId="08F431DF">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正常运行压力区间</w:t>
            </w:r>
          </w:p>
        </w:tc>
        <w:tc>
          <w:tcPr>
            <w:tcW w:w="784" w:type="dxa"/>
            <w:noWrap w:val="0"/>
            <w:vAlign w:val="center"/>
          </w:tcPr>
          <w:p w14:paraId="1025B698">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MPa</w:t>
            </w:r>
          </w:p>
        </w:tc>
        <w:tc>
          <w:tcPr>
            <w:tcW w:w="1568" w:type="dxa"/>
            <w:noWrap w:val="0"/>
            <w:vAlign w:val="center"/>
          </w:tcPr>
          <w:p w14:paraId="29FD656E">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0.2-0.5</w:t>
            </w:r>
          </w:p>
        </w:tc>
        <w:tc>
          <w:tcPr>
            <w:tcW w:w="1883" w:type="dxa"/>
            <w:noWrap w:val="0"/>
            <w:vAlign w:val="center"/>
          </w:tcPr>
          <w:p w14:paraId="3FD9FD08">
            <w:pPr>
              <w:snapToGrid w:val="0"/>
              <w:spacing w:line="360" w:lineRule="auto"/>
              <w:jc w:val="center"/>
              <w:rPr>
                <w:rFonts w:ascii="宋体" w:hAnsi="宋体" w:eastAsia="宋体"/>
                <w:i/>
                <w:iCs/>
                <w:color w:val="0000FF"/>
                <w:sz w:val="20"/>
                <w:szCs w:val="20"/>
              </w:rPr>
            </w:pPr>
          </w:p>
        </w:tc>
      </w:tr>
      <w:tr w14:paraId="4F0A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0" w:type="dxa"/>
            <w:noWrap w:val="0"/>
            <w:vAlign w:val="center"/>
          </w:tcPr>
          <w:p w14:paraId="3FDA7224">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9</w:t>
            </w:r>
          </w:p>
        </w:tc>
        <w:tc>
          <w:tcPr>
            <w:tcW w:w="2784" w:type="dxa"/>
            <w:noWrap w:val="0"/>
            <w:vAlign w:val="center"/>
          </w:tcPr>
          <w:p w14:paraId="7BE8D7D0">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制冷工质</w:t>
            </w:r>
          </w:p>
        </w:tc>
        <w:tc>
          <w:tcPr>
            <w:tcW w:w="784" w:type="dxa"/>
            <w:noWrap w:val="0"/>
            <w:vAlign w:val="center"/>
          </w:tcPr>
          <w:p w14:paraId="494ECE51">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w:t>
            </w:r>
          </w:p>
        </w:tc>
        <w:tc>
          <w:tcPr>
            <w:tcW w:w="1568" w:type="dxa"/>
            <w:noWrap w:val="0"/>
            <w:vAlign w:val="center"/>
          </w:tcPr>
          <w:p w14:paraId="6DC70A9C">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液氮</w:t>
            </w:r>
          </w:p>
        </w:tc>
        <w:tc>
          <w:tcPr>
            <w:tcW w:w="1883" w:type="dxa"/>
            <w:noWrap w:val="0"/>
            <w:vAlign w:val="center"/>
          </w:tcPr>
          <w:p w14:paraId="3DEFFEEF">
            <w:pPr>
              <w:snapToGrid w:val="0"/>
              <w:spacing w:line="360" w:lineRule="auto"/>
              <w:jc w:val="center"/>
              <w:rPr>
                <w:rFonts w:ascii="宋体" w:hAnsi="宋体" w:eastAsia="宋体"/>
                <w:i/>
                <w:iCs/>
                <w:color w:val="0000FF"/>
                <w:sz w:val="20"/>
                <w:szCs w:val="20"/>
              </w:rPr>
            </w:pPr>
          </w:p>
        </w:tc>
      </w:tr>
      <w:tr w14:paraId="4572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0" w:type="dxa"/>
            <w:noWrap w:val="0"/>
            <w:vAlign w:val="center"/>
          </w:tcPr>
          <w:p w14:paraId="6FAA1E35">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10</w:t>
            </w:r>
          </w:p>
        </w:tc>
        <w:tc>
          <w:tcPr>
            <w:tcW w:w="2784" w:type="dxa"/>
            <w:noWrap w:val="0"/>
            <w:vAlign w:val="center"/>
          </w:tcPr>
          <w:p w14:paraId="329EBF2B">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电缆型式</w:t>
            </w:r>
          </w:p>
        </w:tc>
        <w:tc>
          <w:tcPr>
            <w:tcW w:w="784" w:type="dxa"/>
            <w:noWrap w:val="0"/>
            <w:vAlign w:val="center"/>
          </w:tcPr>
          <w:p w14:paraId="1812F105">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w:t>
            </w:r>
          </w:p>
        </w:tc>
        <w:tc>
          <w:tcPr>
            <w:tcW w:w="1568" w:type="dxa"/>
            <w:noWrap w:val="0"/>
            <w:vAlign w:val="center"/>
          </w:tcPr>
          <w:p w14:paraId="0113A8A5">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三相同轴</w:t>
            </w:r>
          </w:p>
        </w:tc>
        <w:tc>
          <w:tcPr>
            <w:tcW w:w="1883" w:type="dxa"/>
            <w:noWrap w:val="0"/>
            <w:vAlign w:val="center"/>
          </w:tcPr>
          <w:p w14:paraId="35CBBDB6">
            <w:pPr>
              <w:snapToGrid w:val="0"/>
              <w:spacing w:line="360" w:lineRule="auto"/>
              <w:jc w:val="center"/>
              <w:rPr>
                <w:rFonts w:ascii="宋体" w:hAnsi="宋体" w:eastAsia="宋体"/>
                <w:i/>
                <w:iCs/>
                <w:color w:val="0000FF"/>
                <w:sz w:val="20"/>
                <w:szCs w:val="20"/>
              </w:rPr>
            </w:pPr>
          </w:p>
        </w:tc>
      </w:tr>
      <w:tr w14:paraId="4272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40" w:type="dxa"/>
            <w:noWrap w:val="0"/>
            <w:vAlign w:val="center"/>
          </w:tcPr>
          <w:p w14:paraId="0C0288F3">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11</w:t>
            </w:r>
          </w:p>
        </w:tc>
        <w:tc>
          <w:tcPr>
            <w:tcW w:w="2784" w:type="dxa"/>
            <w:noWrap w:val="0"/>
            <w:vAlign w:val="center"/>
          </w:tcPr>
          <w:p w14:paraId="15275F4F">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各种敷设条件下最低直流Ic</w:t>
            </w:r>
          </w:p>
        </w:tc>
        <w:tc>
          <w:tcPr>
            <w:tcW w:w="784" w:type="dxa"/>
            <w:noWrap w:val="0"/>
            <w:vAlign w:val="center"/>
          </w:tcPr>
          <w:p w14:paraId="115BBA09">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kA</w:t>
            </w:r>
          </w:p>
        </w:tc>
        <w:tc>
          <w:tcPr>
            <w:tcW w:w="1568" w:type="dxa"/>
            <w:noWrap w:val="0"/>
            <w:vAlign w:val="center"/>
          </w:tcPr>
          <w:p w14:paraId="016D2F1B">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3.6</w:t>
            </w:r>
          </w:p>
        </w:tc>
        <w:tc>
          <w:tcPr>
            <w:tcW w:w="1883" w:type="dxa"/>
            <w:noWrap w:val="0"/>
            <w:vAlign w:val="center"/>
          </w:tcPr>
          <w:p w14:paraId="1B33113E">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77.3 K，以1μV/cm为判据</w:t>
            </w:r>
          </w:p>
        </w:tc>
      </w:tr>
      <w:tr w14:paraId="171F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40" w:type="dxa"/>
            <w:noWrap w:val="0"/>
            <w:vAlign w:val="center"/>
          </w:tcPr>
          <w:p w14:paraId="27B83B4B">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12</w:t>
            </w:r>
          </w:p>
        </w:tc>
        <w:tc>
          <w:tcPr>
            <w:tcW w:w="2784" w:type="dxa"/>
            <w:noWrap w:val="0"/>
            <w:vAlign w:val="center"/>
          </w:tcPr>
          <w:p w14:paraId="3D7D83CF">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长期运行电流峰值/极限直流 Ic</w:t>
            </w:r>
          </w:p>
        </w:tc>
        <w:tc>
          <w:tcPr>
            <w:tcW w:w="784" w:type="dxa"/>
            <w:noWrap w:val="0"/>
            <w:vAlign w:val="center"/>
          </w:tcPr>
          <w:p w14:paraId="57A3BBBC">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w:t>
            </w:r>
          </w:p>
        </w:tc>
        <w:tc>
          <w:tcPr>
            <w:tcW w:w="1568" w:type="dxa"/>
            <w:noWrap w:val="0"/>
            <w:vAlign w:val="center"/>
          </w:tcPr>
          <w:p w14:paraId="514EC33D">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≤0.6</w:t>
            </w:r>
          </w:p>
        </w:tc>
        <w:tc>
          <w:tcPr>
            <w:tcW w:w="1883" w:type="dxa"/>
            <w:noWrap w:val="0"/>
            <w:vAlign w:val="center"/>
          </w:tcPr>
          <w:p w14:paraId="21B4B3AB">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77.3 K，以1μV/cm为判据</w:t>
            </w:r>
          </w:p>
        </w:tc>
      </w:tr>
      <w:tr w14:paraId="08FE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0" w:type="dxa"/>
            <w:noWrap w:val="0"/>
            <w:vAlign w:val="center"/>
          </w:tcPr>
          <w:p w14:paraId="6C9B52E2">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13</w:t>
            </w:r>
          </w:p>
        </w:tc>
        <w:tc>
          <w:tcPr>
            <w:tcW w:w="2784" w:type="dxa"/>
            <w:noWrap w:val="0"/>
            <w:vAlign w:val="center"/>
          </w:tcPr>
          <w:p w14:paraId="6944BCCE">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最小允许弯曲半径</w:t>
            </w:r>
          </w:p>
        </w:tc>
        <w:tc>
          <w:tcPr>
            <w:tcW w:w="784" w:type="dxa"/>
            <w:noWrap w:val="0"/>
            <w:vAlign w:val="center"/>
          </w:tcPr>
          <w:p w14:paraId="358F4479">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m</w:t>
            </w:r>
          </w:p>
        </w:tc>
        <w:tc>
          <w:tcPr>
            <w:tcW w:w="1568" w:type="dxa"/>
            <w:noWrap w:val="0"/>
            <w:vAlign w:val="center"/>
          </w:tcPr>
          <w:p w14:paraId="1CA5B787">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≤2</w:t>
            </w:r>
          </w:p>
        </w:tc>
        <w:tc>
          <w:tcPr>
            <w:tcW w:w="1883" w:type="dxa"/>
            <w:noWrap w:val="0"/>
            <w:vAlign w:val="center"/>
          </w:tcPr>
          <w:p w14:paraId="664A44A4">
            <w:pPr>
              <w:snapToGrid w:val="0"/>
              <w:spacing w:line="360" w:lineRule="auto"/>
              <w:jc w:val="center"/>
              <w:rPr>
                <w:rFonts w:ascii="宋体" w:hAnsi="宋体" w:eastAsia="宋体" w:cs="Times New Roman"/>
                <w:i/>
                <w:iCs/>
                <w:color w:val="0000FF"/>
                <w:kern w:val="2"/>
                <w:sz w:val="20"/>
                <w:szCs w:val="20"/>
                <w:lang w:val="en-US" w:eastAsia="zh-CN" w:bidi="ar-SA"/>
              </w:rPr>
            </w:pPr>
          </w:p>
        </w:tc>
      </w:tr>
      <w:tr w14:paraId="0484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40" w:type="dxa"/>
            <w:noWrap w:val="0"/>
            <w:vAlign w:val="center"/>
          </w:tcPr>
          <w:p w14:paraId="538926C0">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14</w:t>
            </w:r>
          </w:p>
        </w:tc>
        <w:tc>
          <w:tcPr>
            <w:tcW w:w="2784" w:type="dxa"/>
            <w:noWrap w:val="0"/>
            <w:vAlign w:val="center"/>
          </w:tcPr>
          <w:p w14:paraId="6E970873">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电缆芯及低温杜瓦管允许接头数量</w:t>
            </w:r>
          </w:p>
        </w:tc>
        <w:tc>
          <w:tcPr>
            <w:tcW w:w="784" w:type="dxa"/>
            <w:noWrap w:val="0"/>
            <w:vAlign w:val="center"/>
          </w:tcPr>
          <w:p w14:paraId="4A60D4E4">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个</w:t>
            </w:r>
          </w:p>
        </w:tc>
        <w:tc>
          <w:tcPr>
            <w:tcW w:w="1568" w:type="dxa"/>
            <w:noWrap w:val="0"/>
            <w:vAlign w:val="center"/>
          </w:tcPr>
          <w:p w14:paraId="64336847">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0</w:t>
            </w:r>
          </w:p>
        </w:tc>
        <w:tc>
          <w:tcPr>
            <w:tcW w:w="1883" w:type="dxa"/>
            <w:noWrap w:val="0"/>
            <w:vAlign w:val="center"/>
          </w:tcPr>
          <w:p w14:paraId="36859002">
            <w:pPr>
              <w:snapToGrid w:val="0"/>
              <w:spacing w:line="360" w:lineRule="auto"/>
              <w:jc w:val="center"/>
              <w:rPr>
                <w:rFonts w:ascii="宋体" w:hAnsi="宋体" w:eastAsia="宋体" w:cs="Times New Roman"/>
                <w:i/>
                <w:iCs/>
                <w:color w:val="0000FF"/>
                <w:kern w:val="2"/>
                <w:sz w:val="20"/>
                <w:szCs w:val="20"/>
                <w:lang w:val="en-US" w:eastAsia="zh-CN" w:bidi="ar-SA"/>
              </w:rPr>
            </w:pPr>
          </w:p>
        </w:tc>
      </w:tr>
      <w:tr w14:paraId="7FE1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0" w:type="dxa"/>
            <w:noWrap w:val="0"/>
            <w:vAlign w:val="center"/>
          </w:tcPr>
          <w:p w14:paraId="22392040">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15</w:t>
            </w:r>
          </w:p>
        </w:tc>
        <w:tc>
          <w:tcPr>
            <w:tcW w:w="2784" w:type="dxa"/>
            <w:noWrap w:val="0"/>
            <w:vAlign w:val="center"/>
          </w:tcPr>
          <w:p w14:paraId="6B054652">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低温杜瓦管热损耗</w:t>
            </w:r>
          </w:p>
        </w:tc>
        <w:tc>
          <w:tcPr>
            <w:tcW w:w="784" w:type="dxa"/>
            <w:noWrap w:val="0"/>
            <w:vAlign w:val="center"/>
          </w:tcPr>
          <w:p w14:paraId="61936CE6">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W/m</w:t>
            </w:r>
          </w:p>
        </w:tc>
        <w:tc>
          <w:tcPr>
            <w:tcW w:w="1568" w:type="dxa"/>
            <w:noWrap w:val="0"/>
            <w:vAlign w:val="center"/>
          </w:tcPr>
          <w:p w14:paraId="3E4B0075">
            <w:pPr>
              <w:snapToGrid w:val="0"/>
              <w:spacing w:line="360" w:lineRule="auto"/>
              <w:jc w:val="center"/>
              <w:rPr>
                <w:rFonts w:ascii="宋体" w:hAnsi="宋体" w:eastAsia="宋体" w:cs="Times New Roman"/>
                <w:i/>
                <w:iCs/>
                <w:color w:val="0000FF"/>
                <w:kern w:val="2"/>
                <w:sz w:val="20"/>
                <w:szCs w:val="20"/>
                <w:lang w:val="en-US" w:eastAsia="zh-CN" w:bidi="ar-SA"/>
              </w:rPr>
            </w:pPr>
            <w:r>
              <w:rPr>
                <w:rFonts w:ascii="宋体" w:hAnsi="宋体" w:eastAsia="宋体"/>
                <w:i/>
                <w:iCs/>
                <w:color w:val="0000FF"/>
                <w:sz w:val="20"/>
                <w:szCs w:val="20"/>
              </w:rPr>
              <w:t>≤2</w:t>
            </w:r>
          </w:p>
        </w:tc>
        <w:tc>
          <w:tcPr>
            <w:tcW w:w="1883" w:type="dxa"/>
            <w:noWrap w:val="0"/>
            <w:vAlign w:val="center"/>
          </w:tcPr>
          <w:p w14:paraId="225D7768">
            <w:pPr>
              <w:snapToGrid w:val="0"/>
              <w:spacing w:line="360" w:lineRule="auto"/>
              <w:jc w:val="center"/>
              <w:rPr>
                <w:rFonts w:ascii="宋体" w:hAnsi="宋体" w:eastAsia="宋体" w:cs="Times New Roman"/>
                <w:i/>
                <w:iCs/>
                <w:color w:val="0000FF"/>
                <w:kern w:val="2"/>
                <w:sz w:val="20"/>
                <w:szCs w:val="20"/>
                <w:lang w:val="en-US" w:eastAsia="zh-CN" w:bidi="ar-SA"/>
              </w:rPr>
            </w:pPr>
          </w:p>
        </w:tc>
      </w:tr>
      <w:tr w14:paraId="3DE1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640" w:type="dxa"/>
            <w:noWrap w:val="0"/>
            <w:vAlign w:val="center"/>
          </w:tcPr>
          <w:p w14:paraId="39FE57EE">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16</w:t>
            </w:r>
          </w:p>
        </w:tc>
        <w:tc>
          <w:tcPr>
            <w:tcW w:w="2784" w:type="dxa"/>
            <w:noWrap w:val="0"/>
            <w:vAlign w:val="center"/>
          </w:tcPr>
          <w:p w14:paraId="50C64059">
            <w:pPr>
              <w:snapToGrid w:val="0"/>
              <w:spacing w:line="360" w:lineRule="auto"/>
              <w:jc w:val="center"/>
              <w:rPr>
                <w:rFonts w:hint="eastAsia" w:ascii="宋体" w:hAnsi="宋体" w:eastAsia="宋体"/>
                <w:i/>
                <w:iCs/>
                <w:color w:val="0000FF"/>
                <w:sz w:val="20"/>
                <w:szCs w:val="20"/>
                <w:lang w:eastAsia="zh-CN"/>
              </w:rPr>
            </w:pPr>
            <w:r>
              <w:rPr>
                <w:rFonts w:hint="eastAsia" w:ascii="宋体" w:hAnsi="宋体" w:eastAsia="宋体"/>
                <w:i/>
                <w:iCs/>
                <w:color w:val="0000FF"/>
                <w:sz w:val="20"/>
                <w:szCs w:val="20"/>
                <w:lang w:eastAsia="zh-CN"/>
              </w:rPr>
              <w:t>终端</w:t>
            </w:r>
          </w:p>
        </w:tc>
        <w:tc>
          <w:tcPr>
            <w:tcW w:w="784" w:type="dxa"/>
            <w:noWrap w:val="0"/>
            <w:vAlign w:val="center"/>
          </w:tcPr>
          <w:p w14:paraId="06CBBF3B">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w:t>
            </w:r>
          </w:p>
        </w:tc>
        <w:tc>
          <w:tcPr>
            <w:tcW w:w="1568" w:type="dxa"/>
            <w:noWrap w:val="0"/>
            <w:vAlign w:val="center"/>
          </w:tcPr>
          <w:p w14:paraId="109C5360">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三相一体</w:t>
            </w:r>
          </w:p>
        </w:tc>
        <w:tc>
          <w:tcPr>
            <w:tcW w:w="1883" w:type="dxa"/>
            <w:noWrap w:val="0"/>
            <w:vAlign w:val="center"/>
          </w:tcPr>
          <w:p w14:paraId="587F7277">
            <w:pPr>
              <w:snapToGrid w:val="0"/>
              <w:spacing w:line="360" w:lineRule="auto"/>
              <w:jc w:val="center"/>
              <w:rPr>
                <w:rFonts w:ascii="宋体" w:hAnsi="宋体" w:eastAsia="宋体"/>
                <w:i/>
                <w:iCs/>
                <w:color w:val="0000FF"/>
                <w:sz w:val="20"/>
                <w:szCs w:val="20"/>
              </w:rPr>
            </w:pPr>
            <w:r>
              <w:rPr>
                <w:rFonts w:ascii="宋体" w:hAnsi="宋体" w:eastAsia="宋体"/>
                <w:i/>
                <w:iCs/>
                <w:color w:val="0000FF"/>
                <w:sz w:val="20"/>
                <w:szCs w:val="20"/>
              </w:rPr>
              <w:t>带消应变装置</w:t>
            </w:r>
          </w:p>
        </w:tc>
      </w:tr>
    </w:tbl>
    <w:p w14:paraId="7BD9D287">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textAlignment w:val="auto"/>
        <w:rPr>
          <w:rFonts w:hint="eastAsia" w:ascii="仿宋_GB2312" w:hAnsi="仿宋_GB2312" w:eastAsia="仿宋_GB2312" w:cs="仿宋_GB2312"/>
          <w:i/>
          <w:iCs/>
          <w:color w:val="0000FF"/>
          <w:sz w:val="28"/>
          <w:szCs w:val="28"/>
          <w:lang w:eastAsia="zh-CN"/>
        </w:rPr>
      </w:pPr>
      <w:r>
        <w:rPr>
          <w:rFonts w:hint="eastAsia" w:ascii="仿宋_GB2312" w:hAnsi="仿宋_GB2312" w:eastAsia="仿宋_GB2312" w:cs="仿宋_GB2312"/>
          <w:i/>
          <w:iCs/>
          <w:color w:val="0000FF"/>
          <w:sz w:val="28"/>
          <w:szCs w:val="28"/>
          <w:lang w:eastAsia="zh-CN"/>
        </w:rPr>
        <w:t>…………</w:t>
      </w:r>
    </w:p>
    <w:p w14:paraId="35063464">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textAlignment w:val="auto"/>
        <w:rPr>
          <w:rFonts w:hint="eastAsia" w:ascii="仿宋_GB2312" w:hAnsi="仿宋_GB2312" w:eastAsia="仿宋_GB2312" w:cs="仿宋_GB2312"/>
          <w:i/>
          <w:iCs/>
          <w:color w:val="0000FF"/>
          <w:sz w:val="28"/>
          <w:szCs w:val="28"/>
        </w:rPr>
      </w:pPr>
      <w:r>
        <w:rPr>
          <w:rFonts w:hint="eastAsia" w:ascii="仿宋_GB2312" w:hAnsi="仿宋_GB2312" w:eastAsia="仿宋_GB2312" w:cs="仿宋_GB2312"/>
          <w:i/>
          <w:iCs/>
          <w:color w:val="0000FF"/>
          <w:sz w:val="28"/>
          <w:szCs w:val="28"/>
          <w:lang w:eastAsia="zh-CN"/>
        </w:rPr>
        <w:t>本项目</w:t>
      </w:r>
      <w:r>
        <w:rPr>
          <w:rFonts w:hint="eastAsia" w:ascii="仿宋_GB2312" w:hAnsi="仿宋_GB2312" w:eastAsia="仿宋_GB2312" w:cs="仿宋_GB2312"/>
          <w:i/>
          <w:iCs/>
          <w:color w:val="0000FF"/>
          <w:sz w:val="28"/>
          <w:szCs w:val="28"/>
          <w:lang w:val="en-US" w:eastAsia="zh-CN"/>
        </w:rPr>
        <w:t>超导电缆示范工程计划于2021年建成投产，应用于特大型城市高负荷密度电网中，将“一揽子”解决电网建设用地难、电网负荷需求持续增长、城市输配电走廊趋于饱和等诸多问题和挑战，不仅能为全球解决特大型城市供电问题和城市治理提供新样板，也将会引领对未来电力系统具有影响力的新技术，促进电力工业重大变革，为经济和社会发展做出重大贡献。</w:t>
      </w:r>
    </w:p>
    <w:p w14:paraId="5E6222CC">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Cs w:val="32"/>
          <w:lang w:eastAsia="zh-CN"/>
        </w:rPr>
      </w:pPr>
      <w:r>
        <w:rPr>
          <w:rFonts w:hint="eastAsia" w:ascii="仿宋_GB2312" w:hAnsi="仿宋_GB2312" w:eastAsia="仿宋_GB2312" w:cs="仿宋_GB2312"/>
          <w:b/>
          <w:bCs/>
          <w:szCs w:val="32"/>
          <w:lang w:eastAsia="zh-CN"/>
        </w:rPr>
        <w:t>二、</w:t>
      </w:r>
      <w:r>
        <w:rPr>
          <w:rFonts w:hint="eastAsia" w:ascii="仿宋_GB2312" w:hAnsi="仿宋_GB2312" w:eastAsia="仿宋_GB2312" w:cs="仿宋_GB2312"/>
          <w:b/>
          <w:bCs/>
          <w:szCs w:val="32"/>
          <w:lang w:val="en-US" w:eastAsia="zh-CN"/>
        </w:rPr>
        <w:t>挂网试运行风险分析</w:t>
      </w:r>
    </w:p>
    <w:p w14:paraId="5472C7D9">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挂网试运行安全风险，从人身、电网、设备、网络安全等方面对安全风险进行评估。</w:t>
      </w:r>
    </w:p>
    <w:p w14:paraId="2D66AEBE">
      <w:pPr>
        <w:keepNext w:val="0"/>
        <w:keepLines w:val="0"/>
        <w:pageBreakBefore w:val="0"/>
        <w:widowControl w:val="0"/>
        <w:numPr>
          <w:ilvl w:val="0"/>
          <w:numId w:val="1"/>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人身风险分析及管控措施</w:t>
      </w:r>
    </w:p>
    <w:p w14:paraId="07F6F838">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default"/>
          <w:lang w:val="en-US" w:eastAsia="zh-CN"/>
        </w:rPr>
      </w:pPr>
    </w:p>
    <w:p w14:paraId="14C73EDB">
      <w:pPr>
        <w:keepNext w:val="0"/>
        <w:keepLines w:val="0"/>
        <w:pageBreakBefore w:val="0"/>
        <w:widowControl w:val="0"/>
        <w:numPr>
          <w:ilvl w:val="0"/>
          <w:numId w:val="1"/>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电网安全分析及管控措施</w:t>
      </w:r>
    </w:p>
    <w:p w14:paraId="5F94267F">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default"/>
          <w:lang w:val="en-US" w:eastAsia="zh-CN"/>
        </w:rPr>
      </w:pPr>
    </w:p>
    <w:p w14:paraId="2E63CA38">
      <w:pPr>
        <w:keepNext w:val="0"/>
        <w:keepLines w:val="0"/>
        <w:pageBreakBefore w:val="0"/>
        <w:widowControl w:val="0"/>
        <w:numPr>
          <w:ilvl w:val="0"/>
          <w:numId w:val="1"/>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设备安全分析及管控措施</w:t>
      </w:r>
    </w:p>
    <w:p w14:paraId="5A120BED">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default"/>
          <w:lang w:val="en-US" w:eastAsia="zh-CN"/>
        </w:rPr>
      </w:pPr>
    </w:p>
    <w:p w14:paraId="49F1A8FD">
      <w:pPr>
        <w:keepNext w:val="0"/>
        <w:keepLines w:val="0"/>
        <w:pageBreakBefore w:val="0"/>
        <w:widowControl w:val="0"/>
        <w:numPr>
          <w:ilvl w:val="0"/>
          <w:numId w:val="1"/>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网络安全分析及管控措施</w:t>
      </w:r>
    </w:p>
    <w:p w14:paraId="3F404B4E">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default"/>
          <w:lang w:val="en-US" w:eastAsia="zh-CN"/>
        </w:rPr>
      </w:pPr>
    </w:p>
    <w:p w14:paraId="3C026935">
      <w:pPr>
        <w:pStyle w:val="2"/>
        <w:jc w:val="center"/>
        <w:rPr>
          <w:rFonts w:hint="default"/>
          <w:color w:val="0000FF"/>
          <w:sz w:val="28"/>
          <w:szCs w:val="18"/>
          <w:lang w:val="en-US" w:eastAsia="zh-CN"/>
        </w:rPr>
      </w:pPr>
      <w:r>
        <w:rPr>
          <w:rFonts w:hint="eastAsia"/>
          <w:color w:val="0000FF"/>
          <w:sz w:val="28"/>
          <w:szCs w:val="18"/>
          <w:lang w:val="en-US" w:eastAsia="zh-CN"/>
        </w:rPr>
        <w:t>表1-风险分析汇总表</w:t>
      </w:r>
    </w:p>
    <w:tbl>
      <w:tblPr>
        <w:tblStyle w:val="8"/>
        <w:tblW w:w="9071" w:type="dxa"/>
        <w:tblInd w:w="91" w:type="dxa"/>
        <w:tblLayout w:type="fixed"/>
        <w:tblCellMar>
          <w:top w:w="0" w:type="dxa"/>
          <w:left w:w="108" w:type="dxa"/>
          <w:bottom w:w="0" w:type="dxa"/>
          <w:right w:w="108" w:type="dxa"/>
        </w:tblCellMar>
      </w:tblPr>
      <w:tblGrid>
        <w:gridCol w:w="605"/>
        <w:gridCol w:w="1018"/>
        <w:gridCol w:w="2805"/>
        <w:gridCol w:w="3646"/>
        <w:gridCol w:w="997"/>
      </w:tblGrid>
      <w:tr w14:paraId="0FF6F4E5">
        <w:tblPrEx>
          <w:tblCellMar>
            <w:top w:w="0" w:type="dxa"/>
            <w:left w:w="108" w:type="dxa"/>
            <w:bottom w:w="0" w:type="dxa"/>
            <w:right w:w="108" w:type="dxa"/>
          </w:tblCellMar>
        </w:tblPrEx>
        <w:trPr>
          <w:trHeight w:val="420" w:hRule="atLeast"/>
        </w:trPr>
        <w:tc>
          <w:tcPr>
            <w:tcW w:w="632" w:type="dxa"/>
            <w:tcBorders>
              <w:top w:val="single" w:color="auto" w:sz="4" w:space="0"/>
              <w:left w:val="single" w:color="auto" w:sz="4" w:space="0"/>
              <w:bottom w:val="single" w:color="auto" w:sz="4" w:space="0"/>
              <w:right w:val="single" w:color="auto" w:sz="4" w:space="0"/>
            </w:tcBorders>
            <w:vAlign w:val="center"/>
          </w:tcPr>
          <w:p w14:paraId="1C3FA1BF">
            <w:pPr>
              <w:widowControl/>
              <w:jc w:val="center"/>
              <w:rPr>
                <w:rFonts w:ascii="宋体" w:hAnsi="宋体" w:cs="宋体"/>
                <w:b/>
                <w:bCs/>
                <w:color w:val="0000FF"/>
                <w:kern w:val="0"/>
                <w:sz w:val="24"/>
                <w:szCs w:val="24"/>
              </w:rPr>
            </w:pPr>
            <w:r>
              <w:rPr>
                <w:rFonts w:hint="eastAsia" w:ascii="宋体" w:hAnsi="宋体" w:cs="宋体"/>
                <w:b/>
                <w:bCs/>
                <w:color w:val="0000FF"/>
                <w:kern w:val="0"/>
                <w:sz w:val="24"/>
                <w:szCs w:val="24"/>
              </w:rPr>
              <w:t>序号</w:t>
            </w:r>
          </w:p>
        </w:tc>
        <w:tc>
          <w:tcPr>
            <w:tcW w:w="1075" w:type="dxa"/>
            <w:tcBorders>
              <w:top w:val="single" w:color="auto" w:sz="4" w:space="0"/>
              <w:left w:val="single" w:color="auto" w:sz="4" w:space="0"/>
              <w:bottom w:val="single" w:color="auto" w:sz="4" w:space="0"/>
              <w:right w:val="single" w:color="auto" w:sz="4" w:space="0"/>
            </w:tcBorders>
            <w:vAlign w:val="center"/>
          </w:tcPr>
          <w:p w14:paraId="15ADA151">
            <w:pPr>
              <w:widowControl/>
              <w:jc w:val="center"/>
              <w:rPr>
                <w:rFonts w:hint="eastAsia" w:ascii="宋体" w:hAnsi="宋体" w:eastAsia="仿宋" w:cs="宋体"/>
                <w:b/>
                <w:bCs/>
                <w:color w:val="0000FF"/>
                <w:kern w:val="0"/>
                <w:sz w:val="24"/>
                <w:szCs w:val="24"/>
                <w:lang w:eastAsia="zh-CN"/>
              </w:rPr>
            </w:pPr>
            <w:r>
              <w:rPr>
                <w:rFonts w:hint="eastAsia" w:ascii="宋体" w:hAnsi="宋体" w:cs="宋体"/>
                <w:b/>
                <w:bCs/>
                <w:color w:val="0000FF"/>
                <w:kern w:val="0"/>
                <w:sz w:val="24"/>
                <w:szCs w:val="24"/>
                <w:lang w:eastAsia="zh-CN"/>
              </w:rPr>
              <w:t>风险类别</w:t>
            </w:r>
          </w:p>
        </w:tc>
        <w:tc>
          <w:tcPr>
            <w:tcW w:w="2989" w:type="dxa"/>
            <w:tcBorders>
              <w:top w:val="single" w:color="auto" w:sz="4" w:space="0"/>
              <w:left w:val="single" w:color="auto" w:sz="4" w:space="0"/>
              <w:bottom w:val="single" w:color="auto" w:sz="4" w:space="0"/>
              <w:right w:val="single" w:color="auto" w:sz="4" w:space="0"/>
            </w:tcBorders>
            <w:vAlign w:val="center"/>
          </w:tcPr>
          <w:p w14:paraId="1358D186">
            <w:pPr>
              <w:widowControl/>
              <w:jc w:val="center"/>
              <w:rPr>
                <w:rFonts w:hint="eastAsia" w:ascii="宋体" w:hAnsi="宋体" w:eastAsia="仿宋" w:cs="宋体"/>
                <w:b/>
                <w:bCs/>
                <w:color w:val="0000FF"/>
                <w:kern w:val="0"/>
                <w:sz w:val="24"/>
                <w:szCs w:val="24"/>
                <w:lang w:eastAsia="zh-CN"/>
              </w:rPr>
            </w:pPr>
            <w:r>
              <w:rPr>
                <w:rFonts w:hint="eastAsia" w:ascii="宋体" w:hAnsi="宋体" w:cs="宋体"/>
                <w:b/>
                <w:bCs/>
                <w:color w:val="0000FF"/>
                <w:kern w:val="0"/>
                <w:sz w:val="24"/>
                <w:szCs w:val="24"/>
                <w:lang w:eastAsia="zh-CN"/>
              </w:rPr>
              <w:t>风险分析</w:t>
            </w:r>
          </w:p>
        </w:tc>
        <w:tc>
          <w:tcPr>
            <w:tcW w:w="3890" w:type="dxa"/>
            <w:tcBorders>
              <w:top w:val="single" w:color="auto" w:sz="4" w:space="0"/>
              <w:left w:val="single" w:color="auto" w:sz="4" w:space="0"/>
              <w:bottom w:val="single" w:color="auto" w:sz="4" w:space="0"/>
              <w:right w:val="single" w:color="auto" w:sz="4" w:space="0"/>
            </w:tcBorders>
            <w:vAlign w:val="center"/>
          </w:tcPr>
          <w:p w14:paraId="72A869ED">
            <w:pPr>
              <w:widowControl/>
              <w:jc w:val="center"/>
              <w:rPr>
                <w:rFonts w:hint="eastAsia" w:ascii="宋体" w:hAnsi="宋体" w:eastAsia="仿宋" w:cs="宋体"/>
                <w:b/>
                <w:bCs/>
                <w:color w:val="0000FF"/>
                <w:kern w:val="0"/>
                <w:sz w:val="24"/>
                <w:szCs w:val="24"/>
                <w:lang w:eastAsia="zh-CN"/>
              </w:rPr>
            </w:pPr>
            <w:r>
              <w:rPr>
                <w:rFonts w:hint="eastAsia" w:ascii="宋体" w:hAnsi="宋体" w:cs="宋体"/>
                <w:b/>
                <w:bCs/>
                <w:color w:val="0000FF"/>
                <w:kern w:val="0"/>
                <w:sz w:val="24"/>
                <w:szCs w:val="24"/>
                <w:lang w:eastAsia="zh-CN"/>
              </w:rPr>
              <w:t>控制措施</w:t>
            </w:r>
          </w:p>
        </w:tc>
        <w:tc>
          <w:tcPr>
            <w:tcW w:w="1052" w:type="dxa"/>
            <w:tcBorders>
              <w:top w:val="single" w:color="auto" w:sz="4" w:space="0"/>
              <w:left w:val="single" w:color="auto" w:sz="4" w:space="0"/>
              <w:bottom w:val="single" w:color="auto" w:sz="4" w:space="0"/>
              <w:right w:val="single" w:color="auto" w:sz="4" w:space="0"/>
            </w:tcBorders>
            <w:vAlign w:val="center"/>
          </w:tcPr>
          <w:p w14:paraId="56218CFC">
            <w:pPr>
              <w:widowControl/>
              <w:jc w:val="center"/>
              <w:rPr>
                <w:rFonts w:hint="eastAsia" w:ascii="宋体" w:hAnsi="宋体" w:eastAsia="仿宋" w:cs="宋体"/>
                <w:b/>
                <w:bCs/>
                <w:color w:val="0000FF"/>
                <w:kern w:val="0"/>
                <w:sz w:val="24"/>
                <w:szCs w:val="24"/>
                <w:lang w:val="en-US" w:eastAsia="zh-CN" w:bidi="ar-SA"/>
              </w:rPr>
            </w:pPr>
            <w:r>
              <w:rPr>
                <w:rFonts w:hint="eastAsia" w:ascii="宋体" w:hAnsi="宋体" w:cs="宋体"/>
                <w:b/>
                <w:bCs/>
                <w:color w:val="0000FF"/>
                <w:kern w:val="0"/>
                <w:sz w:val="24"/>
                <w:szCs w:val="24"/>
                <w:lang w:eastAsia="zh-CN"/>
              </w:rPr>
              <w:t>风险等级</w:t>
            </w:r>
          </w:p>
        </w:tc>
      </w:tr>
      <w:tr w14:paraId="6ACC546E">
        <w:tblPrEx>
          <w:tblCellMar>
            <w:top w:w="0" w:type="dxa"/>
            <w:left w:w="108" w:type="dxa"/>
            <w:bottom w:w="0" w:type="dxa"/>
            <w:right w:w="108" w:type="dxa"/>
          </w:tblCellMar>
        </w:tblPrEx>
        <w:trPr>
          <w:trHeight w:val="420" w:hRule="atLeast"/>
        </w:trPr>
        <w:tc>
          <w:tcPr>
            <w:tcW w:w="632" w:type="dxa"/>
            <w:tcBorders>
              <w:top w:val="single" w:color="auto" w:sz="4" w:space="0"/>
              <w:left w:val="single" w:color="auto" w:sz="4" w:space="0"/>
              <w:bottom w:val="single" w:color="auto" w:sz="4" w:space="0"/>
              <w:right w:val="single" w:color="auto" w:sz="4" w:space="0"/>
            </w:tcBorders>
            <w:vAlign w:val="center"/>
          </w:tcPr>
          <w:p w14:paraId="6BA6A029">
            <w:pPr>
              <w:widowControl/>
              <w:jc w:val="center"/>
              <w:rPr>
                <w:rFonts w:ascii="宋体" w:hAnsi="宋体" w:cs="宋体"/>
                <w:color w:val="0000FF"/>
                <w:kern w:val="0"/>
                <w:sz w:val="24"/>
                <w:szCs w:val="24"/>
              </w:rPr>
            </w:pPr>
            <w:r>
              <w:rPr>
                <w:rFonts w:hint="eastAsia" w:ascii="宋体" w:hAnsi="宋体" w:cs="宋体"/>
                <w:color w:val="0000FF"/>
                <w:kern w:val="0"/>
                <w:sz w:val="24"/>
                <w:szCs w:val="24"/>
              </w:rPr>
              <w:t>1</w:t>
            </w:r>
          </w:p>
        </w:tc>
        <w:tc>
          <w:tcPr>
            <w:tcW w:w="1075" w:type="dxa"/>
            <w:tcBorders>
              <w:top w:val="single" w:color="auto" w:sz="4" w:space="0"/>
              <w:left w:val="single" w:color="auto" w:sz="4" w:space="0"/>
              <w:bottom w:val="single" w:color="auto" w:sz="4" w:space="0"/>
              <w:right w:val="single" w:color="auto" w:sz="4" w:space="0"/>
            </w:tcBorders>
            <w:vAlign w:val="center"/>
          </w:tcPr>
          <w:p w14:paraId="64F20981">
            <w:pPr>
              <w:widowControl/>
              <w:jc w:val="center"/>
              <w:rPr>
                <w:rFonts w:hint="eastAsia" w:ascii="宋体" w:hAnsi="宋体" w:eastAsia="仿宋" w:cs="宋体"/>
                <w:color w:val="0000FF"/>
                <w:kern w:val="0"/>
                <w:sz w:val="24"/>
                <w:szCs w:val="24"/>
                <w:lang w:eastAsia="zh-CN"/>
              </w:rPr>
            </w:pPr>
            <w:r>
              <w:rPr>
                <w:rFonts w:hint="eastAsia" w:ascii="宋体" w:hAnsi="宋体" w:cs="宋体"/>
                <w:color w:val="0000FF"/>
                <w:kern w:val="0"/>
                <w:sz w:val="24"/>
                <w:szCs w:val="24"/>
                <w:lang w:eastAsia="zh-CN"/>
              </w:rPr>
              <w:t>设备风险</w:t>
            </w:r>
          </w:p>
        </w:tc>
        <w:tc>
          <w:tcPr>
            <w:tcW w:w="2989" w:type="dxa"/>
            <w:tcBorders>
              <w:top w:val="single" w:color="auto" w:sz="4" w:space="0"/>
              <w:left w:val="single" w:color="auto" w:sz="4" w:space="0"/>
              <w:bottom w:val="single" w:color="auto" w:sz="4" w:space="0"/>
              <w:right w:val="single" w:color="auto" w:sz="4" w:space="0"/>
            </w:tcBorders>
            <w:vAlign w:val="center"/>
          </w:tcPr>
          <w:p w14:paraId="7FF9E199">
            <w:pPr>
              <w:widowControl/>
              <w:jc w:val="left"/>
              <w:rPr>
                <w:rFonts w:hint="eastAsia" w:ascii="宋体" w:hAnsi="宋体" w:cs="宋体"/>
                <w:color w:val="0000FF"/>
                <w:kern w:val="0"/>
                <w:sz w:val="24"/>
                <w:szCs w:val="24"/>
                <w:lang w:eastAsia="zh-CN"/>
              </w:rPr>
            </w:pPr>
            <w:r>
              <w:rPr>
                <w:rFonts w:hint="eastAsia" w:ascii="宋体" w:hAnsi="宋体" w:cs="宋体"/>
                <w:color w:val="0000FF"/>
                <w:kern w:val="0"/>
                <w:sz w:val="24"/>
                <w:szCs w:val="24"/>
                <w:lang w:val="en-US" w:eastAsia="zh-CN"/>
              </w:rPr>
              <w:t>正常运行时智能母联装置误导通导致两段母线并列运行</w:t>
            </w:r>
          </w:p>
        </w:tc>
        <w:tc>
          <w:tcPr>
            <w:tcW w:w="3890" w:type="dxa"/>
            <w:tcBorders>
              <w:top w:val="single" w:color="auto" w:sz="4" w:space="0"/>
              <w:left w:val="single" w:color="auto" w:sz="4" w:space="0"/>
              <w:bottom w:val="single" w:color="auto" w:sz="4" w:space="0"/>
              <w:right w:val="single" w:color="auto" w:sz="4" w:space="0"/>
            </w:tcBorders>
            <w:vAlign w:val="center"/>
          </w:tcPr>
          <w:p w14:paraId="0FA46D84">
            <w:pPr>
              <w:widowControl/>
              <w:jc w:val="left"/>
              <w:rPr>
                <w:rFonts w:hint="eastAsia" w:ascii="宋体" w:hAnsi="宋体" w:cs="宋体"/>
                <w:color w:val="0000FF"/>
                <w:kern w:val="0"/>
                <w:sz w:val="24"/>
                <w:szCs w:val="24"/>
                <w:lang w:eastAsia="zh-CN"/>
              </w:rPr>
            </w:pPr>
            <w:r>
              <w:rPr>
                <w:rFonts w:hint="eastAsia" w:ascii="宋体" w:hAnsi="宋体" w:cs="宋体"/>
                <w:color w:val="0000FF"/>
                <w:kern w:val="0"/>
                <w:sz w:val="24"/>
                <w:szCs w:val="24"/>
                <w:lang w:val="en-US" w:eastAsia="zh-CN"/>
              </w:rPr>
              <w:t>1.</w:t>
            </w:r>
            <w:r>
              <w:rPr>
                <w:rFonts w:hint="eastAsia" w:ascii="宋体" w:hAnsi="宋体" w:cs="宋体"/>
                <w:color w:val="0000FF"/>
                <w:kern w:val="0"/>
                <w:sz w:val="24"/>
                <w:szCs w:val="24"/>
                <w:lang w:eastAsia="zh-CN"/>
              </w:rPr>
              <w:t>正常运行时由集中监控器进行控制，当集中监控器与母联装置通讯异常时智能母联装置自我闭锁不输出；</w:t>
            </w:r>
          </w:p>
          <w:p w14:paraId="6E3392C6">
            <w:pPr>
              <w:widowControl/>
              <w:jc w:val="left"/>
              <w:rPr>
                <w:rFonts w:hint="eastAsia" w:ascii="宋体" w:hAnsi="宋体" w:cs="宋体"/>
                <w:color w:val="0000FF"/>
                <w:kern w:val="0"/>
                <w:sz w:val="24"/>
                <w:szCs w:val="24"/>
                <w:lang w:eastAsia="zh-CN"/>
              </w:rPr>
            </w:pPr>
            <w:r>
              <w:rPr>
                <w:rFonts w:hint="eastAsia" w:ascii="宋体" w:hAnsi="宋体" w:cs="宋体"/>
                <w:color w:val="0000FF"/>
                <w:kern w:val="0"/>
                <w:sz w:val="24"/>
                <w:szCs w:val="24"/>
                <w:lang w:val="en-US" w:eastAsia="zh-CN"/>
              </w:rPr>
              <w:t>2.</w:t>
            </w:r>
            <w:r>
              <w:rPr>
                <w:rFonts w:hint="eastAsia" w:ascii="宋体" w:hAnsi="宋体" w:cs="宋体"/>
                <w:color w:val="0000FF"/>
                <w:kern w:val="0"/>
                <w:sz w:val="24"/>
                <w:szCs w:val="24"/>
                <w:lang w:eastAsia="zh-CN"/>
              </w:rPr>
              <w:t>集中监控器具备看门狗功能进行自我监视。</w:t>
            </w:r>
          </w:p>
        </w:tc>
        <w:tc>
          <w:tcPr>
            <w:tcW w:w="1052" w:type="dxa"/>
            <w:tcBorders>
              <w:top w:val="single" w:color="auto" w:sz="4" w:space="0"/>
              <w:left w:val="single" w:color="auto" w:sz="4" w:space="0"/>
              <w:bottom w:val="single" w:color="auto" w:sz="4" w:space="0"/>
              <w:right w:val="single" w:color="auto" w:sz="4" w:space="0"/>
            </w:tcBorders>
            <w:vAlign w:val="center"/>
          </w:tcPr>
          <w:p w14:paraId="5C709838">
            <w:pPr>
              <w:widowControl/>
              <w:jc w:val="center"/>
              <w:rPr>
                <w:rFonts w:hint="eastAsia" w:ascii="宋体" w:hAnsi="宋体" w:cs="宋体"/>
                <w:color w:val="0000FF"/>
                <w:kern w:val="0"/>
                <w:sz w:val="24"/>
                <w:szCs w:val="24"/>
                <w:lang w:val="en-US" w:eastAsia="zh-CN"/>
              </w:rPr>
            </w:pPr>
            <w:r>
              <w:rPr>
                <w:rFonts w:hint="eastAsia" w:ascii="宋体" w:hAnsi="宋体" w:cs="宋体"/>
                <w:color w:val="0000FF"/>
                <w:kern w:val="0"/>
                <w:sz w:val="24"/>
                <w:szCs w:val="24"/>
                <w:lang w:eastAsia="zh-CN"/>
              </w:rPr>
              <w:t>低</w:t>
            </w:r>
          </w:p>
        </w:tc>
      </w:tr>
      <w:tr w14:paraId="010A532F">
        <w:tblPrEx>
          <w:tblCellMar>
            <w:top w:w="0" w:type="dxa"/>
            <w:left w:w="108" w:type="dxa"/>
            <w:bottom w:w="0" w:type="dxa"/>
            <w:right w:w="108" w:type="dxa"/>
          </w:tblCellMar>
        </w:tblPrEx>
        <w:trPr>
          <w:trHeight w:val="420" w:hRule="atLeast"/>
        </w:trPr>
        <w:tc>
          <w:tcPr>
            <w:tcW w:w="632" w:type="dxa"/>
            <w:tcBorders>
              <w:top w:val="single" w:color="auto" w:sz="4" w:space="0"/>
              <w:left w:val="single" w:color="auto" w:sz="4" w:space="0"/>
              <w:bottom w:val="single" w:color="auto" w:sz="4" w:space="0"/>
              <w:right w:val="single" w:color="auto" w:sz="4" w:space="0"/>
            </w:tcBorders>
            <w:vAlign w:val="center"/>
          </w:tcPr>
          <w:p w14:paraId="5D15939C">
            <w:pPr>
              <w:widowControl/>
              <w:jc w:val="center"/>
              <w:rPr>
                <w:rFonts w:hint="default" w:ascii="宋体" w:hAnsi="宋体" w:cs="宋体"/>
                <w:color w:val="0000FF"/>
                <w:kern w:val="0"/>
                <w:sz w:val="24"/>
                <w:szCs w:val="24"/>
                <w:lang w:val="en-US" w:eastAsia="zh-CN"/>
              </w:rPr>
            </w:pPr>
            <w:r>
              <w:rPr>
                <w:rFonts w:hint="eastAsia" w:ascii="宋体" w:hAnsi="宋体" w:cs="宋体"/>
                <w:color w:val="0000FF"/>
                <w:kern w:val="0"/>
                <w:sz w:val="24"/>
                <w:szCs w:val="24"/>
                <w:lang w:val="en-US" w:eastAsia="zh-CN"/>
              </w:rPr>
              <w:t>2</w:t>
            </w:r>
          </w:p>
        </w:tc>
        <w:tc>
          <w:tcPr>
            <w:tcW w:w="1075" w:type="dxa"/>
            <w:tcBorders>
              <w:top w:val="single" w:color="auto" w:sz="4" w:space="0"/>
              <w:left w:val="single" w:color="auto" w:sz="4" w:space="0"/>
              <w:bottom w:val="single" w:color="auto" w:sz="4" w:space="0"/>
              <w:right w:val="single" w:color="auto" w:sz="4" w:space="0"/>
            </w:tcBorders>
            <w:vAlign w:val="center"/>
          </w:tcPr>
          <w:p w14:paraId="50024CC2">
            <w:pPr>
              <w:widowControl/>
              <w:jc w:val="center"/>
              <w:rPr>
                <w:rFonts w:hint="eastAsia" w:ascii="宋体" w:hAnsi="宋体" w:cs="宋体"/>
                <w:color w:val="0000FF"/>
                <w:kern w:val="0"/>
                <w:sz w:val="24"/>
                <w:szCs w:val="24"/>
                <w:lang w:eastAsia="zh-CN"/>
              </w:rPr>
            </w:pPr>
            <w:r>
              <w:rPr>
                <w:rFonts w:hint="eastAsia" w:ascii="宋体" w:hAnsi="宋体" w:cs="宋体"/>
                <w:color w:val="0000FF"/>
                <w:kern w:val="0"/>
                <w:sz w:val="24"/>
                <w:szCs w:val="24"/>
                <w:lang w:eastAsia="zh-CN"/>
              </w:rPr>
              <w:t>设备风险</w:t>
            </w:r>
          </w:p>
        </w:tc>
        <w:tc>
          <w:tcPr>
            <w:tcW w:w="2989" w:type="dxa"/>
            <w:tcBorders>
              <w:top w:val="single" w:color="auto" w:sz="4" w:space="0"/>
              <w:left w:val="single" w:color="auto" w:sz="4" w:space="0"/>
              <w:bottom w:val="single" w:color="auto" w:sz="4" w:space="0"/>
              <w:right w:val="single" w:color="auto" w:sz="4" w:space="0"/>
            </w:tcBorders>
            <w:vAlign w:val="center"/>
          </w:tcPr>
          <w:p w14:paraId="23CEA25E">
            <w:pPr>
              <w:widowControl/>
              <w:jc w:val="left"/>
              <w:rPr>
                <w:rFonts w:hint="eastAsia" w:ascii="宋体" w:hAnsi="宋体" w:cs="宋体"/>
                <w:color w:val="0000FF"/>
                <w:kern w:val="0"/>
                <w:sz w:val="24"/>
                <w:szCs w:val="24"/>
                <w:lang w:val="en-US" w:eastAsia="zh-CN"/>
              </w:rPr>
            </w:pPr>
            <w:r>
              <w:rPr>
                <w:rFonts w:hint="eastAsia" w:ascii="宋体" w:hAnsi="宋体" w:cs="宋体"/>
                <w:color w:val="0000FF"/>
                <w:kern w:val="0"/>
                <w:sz w:val="24"/>
                <w:szCs w:val="24"/>
                <w:lang w:val="en-US" w:eastAsia="zh-CN"/>
              </w:rPr>
              <w:t>在直流母联自身发生故障时导致两端母线发生导通或不正常工作</w:t>
            </w:r>
          </w:p>
        </w:tc>
        <w:tc>
          <w:tcPr>
            <w:tcW w:w="3890" w:type="dxa"/>
            <w:tcBorders>
              <w:top w:val="single" w:color="auto" w:sz="4" w:space="0"/>
              <w:left w:val="single" w:color="auto" w:sz="4" w:space="0"/>
              <w:bottom w:val="single" w:color="auto" w:sz="4" w:space="0"/>
              <w:right w:val="single" w:color="auto" w:sz="4" w:space="0"/>
            </w:tcBorders>
            <w:vAlign w:val="center"/>
          </w:tcPr>
          <w:p w14:paraId="7CDB080C">
            <w:pPr>
              <w:pStyle w:val="2"/>
              <w:jc w:val="left"/>
              <w:rPr>
                <w:rFonts w:hint="default" w:ascii="宋体" w:hAnsi="宋体" w:cs="宋体"/>
                <w:color w:val="0000FF"/>
                <w:kern w:val="0"/>
                <w:sz w:val="24"/>
                <w:szCs w:val="24"/>
                <w:lang w:val="en-US" w:eastAsia="zh-CN"/>
              </w:rPr>
            </w:pPr>
            <w:r>
              <w:rPr>
                <w:rFonts w:hint="eastAsia" w:ascii="宋体" w:hAnsi="宋体" w:cs="宋体"/>
                <w:color w:val="0000FF"/>
                <w:kern w:val="0"/>
                <w:sz w:val="24"/>
                <w:szCs w:val="24"/>
                <w:lang w:eastAsia="zh-CN"/>
              </w:rPr>
              <w:t>智能母</w:t>
            </w:r>
            <w:r>
              <w:rPr>
                <w:rFonts w:hint="eastAsia" w:ascii="宋体" w:hAnsi="宋体" w:cs="宋体"/>
                <w:color w:val="0000FF"/>
                <w:kern w:val="0"/>
                <w:sz w:val="24"/>
                <w:szCs w:val="24"/>
                <w:lang w:val="en-US" w:eastAsia="zh-CN"/>
              </w:rPr>
              <w:t>联装置内部发生短路故障时输入空开脱扣及内部保险熔断，智能母联装置与系统隔离</w:t>
            </w:r>
          </w:p>
        </w:tc>
        <w:tc>
          <w:tcPr>
            <w:tcW w:w="1052" w:type="dxa"/>
            <w:tcBorders>
              <w:top w:val="single" w:color="auto" w:sz="4" w:space="0"/>
              <w:left w:val="single" w:color="auto" w:sz="4" w:space="0"/>
              <w:bottom w:val="single" w:color="auto" w:sz="4" w:space="0"/>
              <w:right w:val="single" w:color="auto" w:sz="4" w:space="0"/>
            </w:tcBorders>
            <w:vAlign w:val="center"/>
          </w:tcPr>
          <w:p w14:paraId="298A5C90">
            <w:pPr>
              <w:widowControl/>
              <w:jc w:val="center"/>
              <w:rPr>
                <w:rFonts w:hint="eastAsia" w:ascii="宋体" w:hAnsi="宋体" w:cs="宋体"/>
                <w:color w:val="0000FF"/>
                <w:kern w:val="0"/>
                <w:sz w:val="24"/>
                <w:szCs w:val="24"/>
                <w:lang w:val="en-US" w:eastAsia="zh-CN"/>
              </w:rPr>
            </w:pPr>
            <w:r>
              <w:rPr>
                <w:rFonts w:hint="eastAsia" w:ascii="宋体" w:hAnsi="宋体" w:cs="宋体"/>
                <w:color w:val="0000FF"/>
                <w:kern w:val="0"/>
                <w:sz w:val="24"/>
                <w:szCs w:val="24"/>
                <w:lang w:eastAsia="zh-CN"/>
              </w:rPr>
              <w:t>低</w:t>
            </w:r>
          </w:p>
        </w:tc>
      </w:tr>
    </w:tbl>
    <w:p w14:paraId="6909A0C9">
      <w:pPr>
        <w:pStyle w:val="4"/>
        <w:rPr>
          <w:rFonts w:hint="eastAsia" w:ascii="仿宋_GB2312" w:hAnsi="仿宋_GB2312" w:eastAsia="仿宋_GB2312" w:cs="仿宋_GB2312"/>
          <w:i/>
          <w:iCs/>
          <w:color w:val="0000FF"/>
          <w:sz w:val="28"/>
          <w:szCs w:val="28"/>
          <w:lang w:eastAsia="zh-CN"/>
        </w:rPr>
      </w:pPr>
      <w:r>
        <w:rPr>
          <w:rFonts w:hint="eastAsia"/>
          <w:color w:val="0000FF"/>
          <w:lang w:val="en-US" w:eastAsia="zh-CN"/>
        </w:rPr>
        <w:t>…………</w:t>
      </w:r>
    </w:p>
    <w:p w14:paraId="322B9FAB">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Cs w:val="32"/>
          <w:lang w:eastAsia="zh-CN"/>
        </w:rPr>
      </w:pPr>
      <w:r>
        <w:rPr>
          <w:rFonts w:hint="eastAsia" w:ascii="仿宋_GB2312" w:hAnsi="仿宋_GB2312" w:eastAsia="仿宋_GB2312" w:cs="仿宋_GB2312"/>
          <w:b/>
          <w:bCs/>
          <w:szCs w:val="32"/>
          <w:lang w:val="en-US" w:eastAsia="zh-CN"/>
        </w:rPr>
        <w:t>三</w:t>
      </w:r>
      <w:r>
        <w:rPr>
          <w:rFonts w:hint="eastAsia" w:ascii="仿宋_GB2312" w:hAnsi="仿宋_GB2312" w:eastAsia="仿宋_GB2312" w:cs="仿宋_GB2312"/>
          <w:b/>
          <w:bCs/>
          <w:szCs w:val="32"/>
          <w:lang w:eastAsia="zh-CN"/>
        </w:rPr>
        <w:t>、挂网试运行计划</w:t>
      </w:r>
    </w:p>
    <w:p w14:paraId="6B460709">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val="en-US" w:eastAsia="zh-CN"/>
        </w:rPr>
        <w:t>详细的挂网试运行计划，包括计划挂网的时间、地点、挂网数量</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运行方式安排等，挂网</w:t>
      </w:r>
      <w:r>
        <w:rPr>
          <w:rFonts w:hint="eastAsia" w:ascii="仿宋_GB2312" w:hAnsi="仿宋_GB2312" w:eastAsia="仿宋_GB2312" w:cs="仿宋_GB2312"/>
          <w:szCs w:val="32"/>
        </w:rPr>
        <w:t>试运行阶段需考验的工况、相应的测试、记录、运维要求</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挂网</w:t>
      </w:r>
      <w:r>
        <w:rPr>
          <w:rFonts w:hint="eastAsia" w:ascii="仿宋_GB2312" w:hAnsi="仿宋_GB2312" w:eastAsia="仿宋_GB2312" w:cs="仿宋_GB2312"/>
          <w:szCs w:val="32"/>
        </w:rPr>
        <w:t>工作安排、安全防范措施等。</w:t>
      </w:r>
    </w:p>
    <w:p w14:paraId="1DDCF41C">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挂网试运行责任团队，包括研发团队、运维团队的要求。</w:t>
      </w:r>
    </w:p>
    <w:p w14:paraId="1770E850">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按需明确挂网试运行各阶段总结要求，220kV及以上电压等级主设备或对电网安全运行影响较大的新产品应按月小结，110kV及以下电压等级主设备或对电网安全运行影响较小的新产品按季度总结等，工器具类或不直接涉电的产品挂网完成后完成挂网总结报告。</w:t>
      </w:r>
    </w:p>
    <w:p w14:paraId="68121F8A">
      <w:pPr>
        <w:pStyle w:val="2"/>
        <w:rPr>
          <w:rFonts w:hint="default"/>
          <w:lang w:val="en-US" w:eastAsia="zh-CN"/>
        </w:rPr>
      </w:pPr>
    </w:p>
    <w:p w14:paraId="4205D44C">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Cs w:val="32"/>
          <w:lang w:eastAsia="zh-CN"/>
        </w:rPr>
      </w:pPr>
      <w:r>
        <w:rPr>
          <w:rFonts w:hint="eastAsia" w:ascii="仿宋_GB2312" w:hAnsi="仿宋_GB2312" w:eastAsia="仿宋_GB2312" w:cs="仿宋_GB2312"/>
          <w:b/>
          <w:bCs/>
          <w:szCs w:val="32"/>
          <w:lang w:val="en-US" w:eastAsia="zh-CN"/>
        </w:rPr>
        <w:t>四、</w:t>
      </w:r>
      <w:r>
        <w:rPr>
          <w:rFonts w:hint="eastAsia" w:ascii="仿宋_GB2312" w:hAnsi="仿宋_GB2312" w:eastAsia="仿宋_GB2312" w:cs="仿宋_GB2312"/>
          <w:b/>
          <w:bCs/>
          <w:szCs w:val="32"/>
          <w:lang w:eastAsia="zh-CN"/>
        </w:rPr>
        <w:t>拟挂网试运行产品保障情况</w:t>
      </w:r>
    </w:p>
    <w:p w14:paraId="3A9A0F75">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新产品生产企业是否取得相应的资质认证、是否具备较强的研发实力和生产能力、是否具备完善的质量与售后保障能力等。</w:t>
      </w:r>
    </w:p>
    <w:p w14:paraId="59931178">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关键元器件、材料、软件、系统的自主可控情况。</w:t>
      </w:r>
    </w:p>
    <w:p w14:paraId="15645226">
      <w:pPr>
        <w:pStyle w:val="2"/>
        <w:jc w:val="both"/>
        <w:rPr>
          <w:rFonts w:hint="eastAsia"/>
        </w:rPr>
      </w:pPr>
    </w:p>
    <w:p w14:paraId="6E430BF5">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textAlignment w:val="auto"/>
        <w:rPr>
          <w:rFonts w:hint="eastAsia" w:ascii="仿宋_GB2312" w:hAnsi="仿宋_GB2312" w:eastAsia="仿宋_GB2312" w:cs="仿宋_GB2312"/>
          <w:i/>
          <w:iCs/>
          <w:color w:val="0000FF"/>
          <w:sz w:val="28"/>
          <w:szCs w:val="28"/>
        </w:rPr>
      </w:pPr>
      <w:r>
        <w:rPr>
          <w:rFonts w:hint="eastAsia" w:ascii="仿宋_GB2312" w:hAnsi="仿宋_GB2312" w:eastAsia="仿宋_GB2312" w:cs="仿宋_GB2312"/>
          <w:i/>
          <w:iCs/>
          <w:color w:val="0000FF"/>
          <w:sz w:val="28"/>
          <w:szCs w:val="28"/>
        </w:rPr>
        <w:t>生产企业均是</w:t>
      </w:r>
      <w:r>
        <w:rPr>
          <w:rFonts w:hint="eastAsia" w:ascii="仿宋_GB2312" w:hAnsi="仿宋_GB2312" w:eastAsia="仿宋_GB2312" w:cs="仿宋_GB2312"/>
          <w:i/>
          <w:iCs/>
          <w:color w:val="0000FF"/>
          <w:sz w:val="28"/>
          <w:szCs w:val="28"/>
          <w:lang w:eastAsia="zh-CN"/>
        </w:rPr>
        <w:t>电力</w:t>
      </w:r>
      <w:r>
        <w:rPr>
          <w:rFonts w:hint="eastAsia" w:ascii="仿宋_GB2312" w:hAnsi="仿宋_GB2312" w:eastAsia="仿宋_GB2312" w:cs="仿宋_GB2312"/>
          <w:i/>
          <w:iCs/>
          <w:color w:val="0000FF"/>
          <w:sz w:val="28"/>
          <w:szCs w:val="28"/>
        </w:rPr>
        <w:t>行业研发实力和生产能力较强的</w:t>
      </w:r>
      <w:r>
        <w:rPr>
          <w:rFonts w:hint="eastAsia" w:ascii="仿宋_GB2312" w:hAnsi="仿宋_GB2312" w:eastAsia="仿宋_GB2312" w:cs="仿宋_GB2312"/>
          <w:i/>
          <w:iCs/>
          <w:color w:val="0000FF"/>
          <w:sz w:val="28"/>
          <w:szCs w:val="28"/>
          <w:lang w:eastAsia="zh-CN"/>
        </w:rPr>
        <w:t>单位、</w:t>
      </w:r>
      <w:r>
        <w:rPr>
          <w:rFonts w:hint="eastAsia" w:ascii="仿宋_GB2312" w:hAnsi="仿宋_GB2312" w:eastAsia="仿宋_GB2312" w:cs="仿宋_GB2312"/>
          <w:i/>
          <w:iCs/>
          <w:color w:val="0000FF"/>
          <w:sz w:val="28"/>
          <w:szCs w:val="28"/>
        </w:rPr>
        <w:t>企业，其中</w:t>
      </w:r>
      <w:r>
        <w:rPr>
          <w:rFonts w:hint="eastAsia" w:ascii="仿宋_GB2312" w:hAnsi="仿宋_GB2312" w:eastAsia="仿宋_GB2312" w:cs="仿宋_GB2312"/>
          <w:i/>
          <w:iCs/>
          <w:color w:val="0000FF"/>
          <w:sz w:val="28"/>
          <w:szCs w:val="28"/>
          <w:lang w:eastAsia="zh-CN"/>
        </w:rPr>
        <w:t>超导</w:t>
      </w:r>
      <w:r>
        <w:rPr>
          <w:rFonts w:hint="eastAsia" w:ascii="仿宋_GB2312" w:hAnsi="仿宋_GB2312" w:eastAsia="仿宋_GB2312" w:cs="仿宋_GB2312"/>
          <w:i/>
          <w:iCs/>
          <w:color w:val="0000FF"/>
          <w:sz w:val="28"/>
          <w:szCs w:val="28"/>
        </w:rPr>
        <w:t>电缆及附件由北京交通大学研发</w:t>
      </w:r>
      <w:r>
        <w:rPr>
          <w:rFonts w:hint="eastAsia" w:ascii="仿宋_GB2312" w:hAnsi="仿宋_GB2312" w:eastAsia="仿宋_GB2312" w:cs="仿宋_GB2312"/>
          <w:i/>
          <w:iCs/>
          <w:color w:val="0000FF"/>
          <w:sz w:val="28"/>
          <w:szCs w:val="28"/>
          <w:lang w:eastAsia="zh-CN"/>
        </w:rPr>
        <w:t>、</w:t>
      </w:r>
      <w:r>
        <w:rPr>
          <w:rFonts w:hint="eastAsia" w:ascii="仿宋_GB2312" w:hAnsi="仿宋_GB2312" w:eastAsia="仿宋_GB2312" w:cs="仿宋_GB2312"/>
          <w:i/>
          <w:iCs/>
          <w:color w:val="0000FF"/>
          <w:sz w:val="28"/>
          <w:szCs w:val="28"/>
        </w:rPr>
        <w:t>中天集团上海超导技术有限公司生产（是上市公司中天集团的子公司）；制冷系统由中船重工鹏力（南京）超低温技术有限公司</w:t>
      </w:r>
      <w:r>
        <w:rPr>
          <w:rFonts w:hint="eastAsia" w:ascii="仿宋_GB2312" w:hAnsi="仿宋_GB2312" w:eastAsia="仿宋_GB2312" w:cs="仿宋_GB2312"/>
          <w:i/>
          <w:iCs/>
          <w:color w:val="0000FF"/>
          <w:sz w:val="28"/>
          <w:szCs w:val="28"/>
          <w:lang w:eastAsia="zh-CN"/>
        </w:rPr>
        <w:t>研发</w:t>
      </w:r>
      <w:r>
        <w:rPr>
          <w:rFonts w:hint="eastAsia" w:ascii="仿宋_GB2312" w:hAnsi="仿宋_GB2312" w:eastAsia="仿宋_GB2312" w:cs="仿宋_GB2312"/>
          <w:i/>
          <w:iCs/>
          <w:color w:val="0000FF"/>
          <w:sz w:val="28"/>
          <w:szCs w:val="28"/>
        </w:rPr>
        <w:t>生产（是大型央企中船重工</w:t>
      </w:r>
      <w:r>
        <w:rPr>
          <w:rFonts w:hint="eastAsia" w:ascii="仿宋_GB2312" w:hAnsi="仿宋_GB2312" w:eastAsia="仿宋_GB2312" w:cs="仿宋_GB2312"/>
          <w:i/>
          <w:iCs/>
          <w:color w:val="0000FF"/>
          <w:sz w:val="28"/>
          <w:szCs w:val="28"/>
          <w:lang w:eastAsia="zh-CN"/>
        </w:rPr>
        <w:t>第八研究院</w:t>
      </w:r>
      <w:r>
        <w:rPr>
          <w:rFonts w:hint="eastAsia" w:ascii="仿宋_GB2312" w:hAnsi="仿宋_GB2312" w:eastAsia="仿宋_GB2312" w:cs="仿宋_GB2312"/>
          <w:i/>
          <w:iCs/>
          <w:color w:val="0000FF"/>
          <w:sz w:val="28"/>
          <w:szCs w:val="28"/>
        </w:rPr>
        <w:t>的子公司）；保护系统是由华中科技大学研发</w:t>
      </w:r>
      <w:r>
        <w:rPr>
          <w:rFonts w:hint="eastAsia" w:ascii="仿宋_GB2312" w:hAnsi="仿宋_GB2312" w:eastAsia="仿宋_GB2312" w:cs="仿宋_GB2312"/>
          <w:i/>
          <w:iCs/>
          <w:color w:val="0000FF"/>
          <w:sz w:val="28"/>
          <w:szCs w:val="28"/>
          <w:lang w:eastAsia="zh-CN"/>
        </w:rPr>
        <w:t>、</w:t>
      </w:r>
      <w:r>
        <w:rPr>
          <w:rFonts w:hint="eastAsia" w:ascii="仿宋_GB2312" w:hAnsi="仿宋_GB2312" w:eastAsia="仿宋_GB2312" w:cs="仿宋_GB2312"/>
          <w:i/>
          <w:iCs/>
          <w:color w:val="0000FF"/>
          <w:sz w:val="28"/>
          <w:szCs w:val="28"/>
        </w:rPr>
        <w:t>南京南瑞继保电气有限公司生产（国内电力保护设备主要供应商）。上述科研院校及供货商均具备完善的质量与售后保障能力。</w:t>
      </w:r>
    </w:p>
    <w:p w14:paraId="56A4250F">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textAlignment w:val="auto"/>
        <w:rPr>
          <w:rFonts w:hint="eastAsia" w:ascii="仿宋_GB2312" w:hAnsi="仿宋_GB2312" w:eastAsia="仿宋_GB2312" w:cs="仿宋_GB2312"/>
          <w:i/>
          <w:iCs/>
          <w:color w:val="0000FF"/>
          <w:sz w:val="28"/>
          <w:szCs w:val="28"/>
          <w:lang w:eastAsia="zh-CN"/>
        </w:rPr>
      </w:pPr>
      <w:r>
        <w:rPr>
          <w:rFonts w:hint="eastAsia" w:ascii="仿宋_GB2312" w:hAnsi="仿宋_GB2312" w:eastAsia="仿宋_GB2312" w:cs="仿宋_GB2312"/>
          <w:i/>
          <w:iCs/>
          <w:color w:val="0000FF"/>
          <w:sz w:val="28"/>
          <w:szCs w:val="28"/>
          <w:lang w:eastAsia="zh-CN"/>
        </w:rPr>
        <w:t>…………</w:t>
      </w:r>
    </w:p>
    <w:p w14:paraId="0BD5D837">
      <w:pPr>
        <w:pStyle w:val="2"/>
        <w:jc w:val="both"/>
        <w:rPr>
          <w:rFonts w:hint="eastAsia"/>
        </w:rPr>
      </w:pPr>
    </w:p>
    <w:p w14:paraId="33879C33">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Cs w:val="32"/>
          <w:lang w:eastAsia="zh-CN"/>
        </w:rPr>
      </w:pPr>
      <w:r>
        <w:rPr>
          <w:rFonts w:hint="eastAsia" w:ascii="仿宋_GB2312" w:hAnsi="仿宋_GB2312" w:eastAsia="仿宋_GB2312" w:cs="仿宋_GB2312"/>
          <w:b/>
          <w:bCs/>
          <w:szCs w:val="32"/>
          <w:lang w:eastAsia="zh-CN"/>
        </w:rPr>
        <w:t>五、挂网试运行展望</w:t>
      </w:r>
    </w:p>
    <w:p w14:paraId="0F785AB1">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对挂网试运行的作用、效益，新技术产品后续工作安排、推广应用的展望等内容。</w:t>
      </w:r>
    </w:p>
    <w:p w14:paraId="1BDA144F">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jc w:val="left"/>
        <w:textAlignment w:val="auto"/>
        <w:rPr>
          <w:rFonts w:ascii="仿宋_GB2312" w:hAnsi="仿宋_GB2312" w:eastAsia="仿宋_GB2312" w:cs="仿宋_GB2312"/>
          <w:i/>
          <w:iCs/>
          <w:color w:val="0000FF"/>
          <w:sz w:val="28"/>
          <w:szCs w:val="28"/>
        </w:rPr>
      </w:pPr>
      <w:r>
        <w:rPr>
          <w:rFonts w:hint="eastAsia" w:ascii="仿宋_GB2312" w:hAnsi="仿宋_GB2312" w:eastAsia="仿宋_GB2312" w:cs="仿宋_GB2312"/>
          <w:i/>
          <w:iCs/>
          <w:color w:val="0000FF"/>
          <w:sz w:val="28"/>
          <w:szCs w:val="28"/>
        </w:rPr>
        <w:t>深圳</w:t>
      </w:r>
      <w:r>
        <w:rPr>
          <w:rFonts w:hint="eastAsia" w:ascii="仿宋_GB2312" w:hAnsi="仿宋" w:eastAsia="仿宋_GB2312" w:cs="Times New Roman"/>
          <w:i/>
          <w:iCs/>
          <w:color w:val="0000FF"/>
          <w:kern w:val="2"/>
          <w:sz w:val="28"/>
          <w:szCs w:val="28"/>
          <w:lang w:val="en-US" w:eastAsia="zh-CN" w:bidi="ar-SA"/>
        </w:rPr>
        <w:t>电网发展面临“三高一限”（高供电可靠性、高负荷密度、高电能质量、土地资源受限）的现实迫切需求，超导电缆具有传输容量大、损耗低、占地面积小等诸多优点，深圳供电局建成全球首个应用于高负荷密度供电区域的超导电缆示范工程，将“一揽子”解决城市电网建设用地难、电网负荷需求持续增长、城市输配电走廊趋于饱和等诸多问题和挑战，将为全球解决特大型城市供电问题和城市治理提供新样板，引领对未来电力系统具有影响力的新技术，促进电力工业重大变革。</w:t>
      </w:r>
    </w:p>
    <w:p w14:paraId="6F0A1577">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jc w:val="left"/>
        <w:textAlignment w:val="auto"/>
        <w:rPr>
          <w:rFonts w:hint="eastAsia" w:ascii="仿宋_GB2312" w:hAnsi="仿宋_GB2312" w:eastAsia="仿宋_GB2312" w:cs="仿宋_GB2312"/>
          <w:i/>
          <w:iCs/>
          <w:color w:val="0000FF"/>
          <w:sz w:val="28"/>
          <w:szCs w:val="28"/>
          <w:lang w:eastAsia="zh-CN"/>
        </w:rPr>
      </w:pPr>
      <w:r>
        <w:rPr>
          <w:rFonts w:hint="eastAsia" w:ascii="仿宋_GB2312" w:hAnsi="仿宋_GB2312" w:eastAsia="仿宋_GB2312" w:cs="仿宋_GB2312"/>
          <w:i/>
          <w:iCs/>
          <w:color w:val="0000FF"/>
          <w:sz w:val="28"/>
          <w:szCs w:val="28"/>
        </w:rPr>
        <w:t>挂网试运行期间，已做好了备品备件、转电等应急保障措施，待挂网结束后，将组织相关部门（单位）完成挂网试运行综合评价，明确后续</w:t>
      </w:r>
      <w:r>
        <w:rPr>
          <w:rFonts w:hint="eastAsia" w:ascii="仿宋_GB2312" w:hAnsi="仿宋_GB2312" w:eastAsia="仿宋_GB2312" w:cs="仿宋_GB2312"/>
          <w:i/>
          <w:iCs/>
          <w:color w:val="0000FF"/>
          <w:sz w:val="28"/>
          <w:szCs w:val="28"/>
          <w:lang w:eastAsia="zh-CN"/>
        </w:rPr>
        <w:t>策略。</w:t>
      </w:r>
    </w:p>
    <w:p w14:paraId="4D67AC33">
      <w:pPr>
        <w:keepNext w:val="0"/>
        <w:keepLines w:val="0"/>
        <w:pageBreakBefore w:val="0"/>
        <w:widowControl w:val="0"/>
        <w:kinsoku/>
        <w:wordWrap/>
        <w:overflowPunct/>
        <w:topLinePunct w:val="0"/>
        <w:autoSpaceDE/>
        <w:autoSpaceDN/>
        <w:bidi w:val="0"/>
        <w:adjustRightInd/>
        <w:spacing w:line="560" w:lineRule="exact"/>
        <w:ind w:left="0" w:leftChars="0" w:firstLine="560" w:firstLineChars="200"/>
        <w:jc w:val="left"/>
        <w:textAlignment w:val="auto"/>
        <w:rPr>
          <w:rFonts w:hint="eastAsia" w:ascii="仿宋_GB2312" w:hAnsi="仿宋_GB2312" w:eastAsia="仿宋_GB2312" w:cs="仿宋_GB2312"/>
          <w:i/>
          <w:iCs/>
          <w:color w:val="0000FF"/>
          <w:sz w:val="28"/>
          <w:szCs w:val="28"/>
          <w:lang w:eastAsia="zh-CN"/>
        </w:rPr>
      </w:pPr>
      <w:r>
        <w:rPr>
          <w:rFonts w:hint="eastAsia" w:ascii="仿宋_GB2312" w:hAnsi="仿宋_GB2312" w:eastAsia="仿宋_GB2312" w:cs="仿宋_GB2312"/>
          <w:i/>
          <w:iCs/>
          <w:color w:val="0000FF"/>
          <w:sz w:val="28"/>
          <w:szCs w:val="28"/>
          <w:lang w:eastAsia="zh-CN"/>
        </w:rPr>
        <w:t>…………</w:t>
      </w:r>
    </w:p>
    <w:p w14:paraId="65033909">
      <w:pPr>
        <w:tabs>
          <w:tab w:val="left" w:pos="2197"/>
        </w:tabs>
        <w:bidi w:val="0"/>
        <w:jc w:val="left"/>
        <w:rPr>
          <w:rFonts w:hint="eastAsia"/>
          <w:lang w:val="en-US" w:eastAsia="zh-CN"/>
        </w:rPr>
      </w:pPr>
    </w:p>
    <w:sectPr>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0051D">
    <w:pPr>
      <w:widowControl w:val="0"/>
      <w:snapToGrid w:val="0"/>
      <w:spacing w:line="560" w:lineRule="exact"/>
      <w:ind w:firstLine="360" w:firstLineChars="200"/>
      <w:jc w:val="center"/>
      <w:rPr>
        <w:rFonts w:ascii="宋体" w:hAnsi="宋体" w:eastAsia="仿宋" w:cs="Times New Roman"/>
        <w:kern w:val="2"/>
        <w:sz w:val="18"/>
        <w:szCs w:val="24"/>
        <w:lang w:val="en-US" w:eastAsia="zh-CN" w:bidi="ar-SA"/>
      </w:rPr>
    </w:pPr>
  </w:p>
  <w:p w14:paraId="34E2573A">
    <w:pPr>
      <w:widowControl w:val="0"/>
      <w:snapToGrid w:val="0"/>
      <w:spacing w:line="560" w:lineRule="exact"/>
      <w:ind w:firstLine="360" w:firstLineChars="200"/>
      <w:jc w:val="left"/>
      <w:rPr>
        <w:rFonts w:ascii="仿宋" w:hAnsi="仿宋" w:eastAsia="仿宋" w:cs="Times New Roman"/>
        <w:kern w:val="2"/>
        <w:sz w:val="18"/>
        <w:szCs w:val="24"/>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56F4C">
    <w:pPr>
      <w:widowControl w:val="0"/>
      <w:tabs>
        <w:tab w:val="center" w:pos="4153"/>
        <w:tab w:val="right" w:pos="8306"/>
      </w:tabs>
      <w:snapToGrid w:val="0"/>
      <w:spacing w:line="560" w:lineRule="exact"/>
      <w:ind w:firstLine="360" w:firstLineChars="200"/>
      <w:jc w:val="left"/>
      <w:rPr>
        <w:rFonts w:ascii="仿宋" w:hAnsi="仿宋" w:eastAsia="仿宋" w:cs="Times New Roman"/>
        <w:kern w:val="2"/>
        <w:sz w:val="18"/>
        <w:szCs w:val="24"/>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B592C">
    <w:pPr>
      <w:widowControl w:val="0"/>
      <w:tabs>
        <w:tab w:val="center" w:pos="4153"/>
        <w:tab w:val="right" w:pos="8306"/>
      </w:tabs>
      <w:snapToGrid w:val="0"/>
      <w:spacing w:line="560" w:lineRule="exact"/>
      <w:ind w:firstLine="360" w:firstLineChars="200"/>
      <w:jc w:val="left"/>
      <w:rPr>
        <w:rFonts w:ascii="仿宋" w:hAnsi="仿宋" w:eastAsia="仿宋" w:cs="Times New Roman"/>
        <w:kern w:val="2"/>
        <w:sz w:val="18"/>
        <w:szCs w:val="24"/>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7027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EC949">
                          <w:pPr>
                            <w:pStyle w:val="6"/>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0EC949">
                    <w:pPr>
                      <w:pStyle w:val="6"/>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9CE0E">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rPr>
        <w:rFonts w:ascii="仿宋" w:hAnsi="仿宋" w:eastAsia="仿宋" w:cs="Times New Roman"/>
        <w:kern w:val="2"/>
        <w:sz w:val="18"/>
        <w:szCs w:val="24"/>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EBBC5">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ind w:firstLine="360" w:firstLineChars="200"/>
      <w:jc w:val="both"/>
      <w:rPr>
        <w:rFonts w:ascii="仿宋" w:hAnsi="仿宋" w:eastAsia="仿宋" w:cs="Times New Roman"/>
        <w:kern w:val="2"/>
        <w:sz w:val="18"/>
        <w:szCs w:val="24"/>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51F93">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ind w:firstLine="360" w:firstLineChars="200"/>
      <w:jc w:val="both"/>
      <w:rPr>
        <w:rFonts w:ascii="仿宋" w:hAnsi="仿宋" w:eastAsia="仿宋" w:cs="Times New Roman"/>
        <w:kern w:val="2"/>
        <w:sz w:val="18"/>
        <w:szCs w:val="24"/>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B9A4B"/>
    <w:multiLevelType w:val="singleLevel"/>
    <w:tmpl w:val="020B9A4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kNjhiMTY3YjQwNjEyZDA0ODliODkxMGRmZTAwNDEifQ=="/>
    <w:docVar w:name="KSO_WPS_MARK_KEY" w:val="ade19917-658b-4312-9801-58e03678d2f0"/>
  </w:docVars>
  <w:rsids>
    <w:rsidRoot w:val="78BE7C47"/>
    <w:rsid w:val="000345FA"/>
    <w:rsid w:val="000E7FB9"/>
    <w:rsid w:val="002469C2"/>
    <w:rsid w:val="00655575"/>
    <w:rsid w:val="00761669"/>
    <w:rsid w:val="00B3018E"/>
    <w:rsid w:val="00CE377F"/>
    <w:rsid w:val="00CF247B"/>
    <w:rsid w:val="00FE6ACE"/>
    <w:rsid w:val="02403794"/>
    <w:rsid w:val="04E41866"/>
    <w:rsid w:val="0A27457B"/>
    <w:rsid w:val="0C4848C8"/>
    <w:rsid w:val="0D280A12"/>
    <w:rsid w:val="0DA542AC"/>
    <w:rsid w:val="0FF670A3"/>
    <w:rsid w:val="19F02FAE"/>
    <w:rsid w:val="1A882356"/>
    <w:rsid w:val="1BA933E4"/>
    <w:rsid w:val="20477AA7"/>
    <w:rsid w:val="2846692D"/>
    <w:rsid w:val="2AAA3D36"/>
    <w:rsid w:val="390649CF"/>
    <w:rsid w:val="4455228A"/>
    <w:rsid w:val="485D0A2A"/>
    <w:rsid w:val="492778A4"/>
    <w:rsid w:val="4FD7337E"/>
    <w:rsid w:val="524C155B"/>
    <w:rsid w:val="57394D6B"/>
    <w:rsid w:val="59076BCA"/>
    <w:rsid w:val="618438CE"/>
    <w:rsid w:val="629967F6"/>
    <w:rsid w:val="639A3154"/>
    <w:rsid w:val="6588615C"/>
    <w:rsid w:val="69523D08"/>
    <w:rsid w:val="6ABC50CB"/>
    <w:rsid w:val="70F252E7"/>
    <w:rsid w:val="73265E84"/>
    <w:rsid w:val="74970655"/>
    <w:rsid w:val="78BE7C47"/>
    <w:rsid w:val="7B25278C"/>
    <w:rsid w:val="7BAC5353"/>
    <w:rsid w:val="7ED61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3"/>
    <w:qFormat/>
    <w:uiPriority w:val="0"/>
    <w:pPr>
      <w:widowControl w:val="0"/>
      <w:jc w:val="center"/>
    </w:pPr>
    <w:rPr>
      <w:rFonts w:ascii="Times New Roman" w:hAnsi="Times New Roman" w:eastAsia="仿宋" w:cs="Times New Roman"/>
      <w:kern w:val="0"/>
      <w:sz w:val="44"/>
      <w:szCs w:val="24"/>
      <w:lang w:val="en-US" w:eastAsia="zh-CN" w:bidi="ar-SA"/>
    </w:rPr>
  </w:style>
  <w:style w:type="paragraph" w:styleId="3">
    <w:name w:val="Title"/>
    <w:next w:val="1"/>
    <w:qFormat/>
    <w:uiPriority w:val="10"/>
    <w:pPr>
      <w:widowControl w:val="0"/>
      <w:spacing w:before="240" w:after="60"/>
      <w:jc w:val="center"/>
      <w:outlineLvl w:val="0"/>
    </w:pPr>
    <w:rPr>
      <w:rFonts w:ascii="Arial" w:hAnsi="Arial" w:eastAsia="华文中宋" w:cs="Arial"/>
      <w:b/>
      <w:bCs/>
      <w:color w:val="FF0000"/>
      <w:kern w:val="2"/>
      <w:sz w:val="116"/>
      <w:szCs w:val="32"/>
      <w:lang w:val="en-US" w:eastAsia="zh-CN" w:bidi="ar-SA"/>
    </w:rPr>
  </w:style>
  <w:style w:type="paragraph" w:styleId="4">
    <w:name w:val="Normal Indent"/>
    <w:basedOn w:val="1"/>
    <w:qFormat/>
    <w:uiPriority w:val="0"/>
    <w:pPr>
      <w:adjustRightInd w:val="0"/>
      <w:snapToGrid w:val="0"/>
      <w:spacing w:line="480" w:lineRule="exact"/>
      <w:ind w:firstLine="567" w:firstLineChars="200"/>
    </w:pPr>
    <w:rPr>
      <w:rFonts w:ascii="Times New Roman" w:hAnsi="Times New Roman" w:eastAsia="宋体" w:cs="Times New Roman"/>
      <w:sz w:val="28"/>
      <w:szCs w:val="20"/>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List Paragraph"/>
    <w:basedOn w:val="1"/>
    <w:qFormat/>
    <w:uiPriority w:val="99"/>
    <w:pPr>
      <w:ind w:firstLine="420" w:firstLineChars="200"/>
    </w:pPr>
  </w:style>
  <w:style w:type="paragraph" w:customStyle="1" w:styleId="11">
    <w:name w:val="段"/>
    <w:qFormat/>
    <w:uiPriority w:val="0"/>
    <w:pPr>
      <w:ind w:firstLine="200" w:firstLineChars="200"/>
      <w:jc w:val="both"/>
    </w:pPr>
    <w:rPr>
      <w:rFonts w:ascii="Times New Roman" w:hAnsi="Times New Roman" w:eastAsia="宋体" w:cs="Times New Roman"/>
      <w:sz w:val="21"/>
      <w:lang w:val="en-US" w:eastAsia="zh-CN" w:bidi="ar-SA"/>
    </w:rPr>
  </w:style>
  <w:style w:type="character" w:customStyle="1" w:styleId="12">
    <w:name w:val="md-plain"/>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1882</Words>
  <Characters>1984</Characters>
  <Lines>22</Lines>
  <Paragraphs>6</Paragraphs>
  <TotalTime>22</TotalTime>
  <ScaleCrop>false</ScaleCrop>
  <LinksUpToDate>false</LinksUpToDate>
  <CharactersWithSpaces>2296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2021-03-06T18:45:00Z</dcterms:created>
  <dc:creator>罗炜</dc:creator>
  <cp:lastModifiedBy>梁琮源</cp:lastModifiedBy>
  <dcterms:modified xsi:type="dcterms:W3CDTF">2025-08-18T08:09:55Z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66E1BF92FF754EEDBB61F408B724B4D2</vt:lpwstr>
  </property>
  <property fmtid="{D5CDD505-2E9C-101B-9397-08002B2CF9AE}" pid="4" name="KSOTemplateDocerSaveRecord">
    <vt:lpwstr>eyJoZGlkIjoiYjkyZmNhZmMwYTRkMzdjNDc0ZDBiODA4ZTNmNjg2YzYiLCJ1c2VySWQiOiIxNjU1MjQwMzA3In0=</vt:lpwstr>
  </property>
</Properties>
</file>