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新技术产品挂网试运行申请注意事项</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32"/>
          <w:szCs w:val="32"/>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textAlignment w:val="auto"/>
        <w:outlineLvl w:val="0"/>
        <w:rPr>
          <w:rFonts w:hint="default" w:ascii="黑体" w:hAnsi="黑体" w:eastAsia="黑体" w:cs="黑体"/>
          <w:b/>
          <w:bCs/>
          <w:lang w:val="en-US" w:eastAsia="zh-CN"/>
        </w:rPr>
      </w:pPr>
      <w:r>
        <w:rPr>
          <w:rFonts w:hint="eastAsia" w:ascii="黑体" w:hAnsi="黑体" w:eastAsia="黑体" w:cs="黑体"/>
          <w:b/>
          <w:bCs/>
          <w:lang w:val="en-US" w:eastAsia="zh-CN"/>
        </w:rPr>
        <w:t>必要条件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cs="仿宋"/>
          <w:lang w:val="en-US" w:eastAsia="zh-CN"/>
        </w:rPr>
      </w:pPr>
      <w:r>
        <w:rPr>
          <w:rFonts w:hint="eastAsia" w:ascii="仿宋" w:hAnsi="仿宋" w:eastAsia="仿宋" w:cs="仿宋"/>
          <w:lang w:val="en-US" w:eastAsia="zh-CN"/>
        </w:rPr>
        <w:t>根据</w:t>
      </w:r>
      <w:r>
        <w:rPr>
          <w:rFonts w:hint="eastAsia" w:ascii="仿宋" w:hAnsi="仿宋" w:cs="仿宋"/>
          <w:lang w:val="en-US" w:eastAsia="zh-CN"/>
        </w:rPr>
        <w:t>国家规定及公司要求，新技术产品申报挂网试运行应具备以下条件：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 w:hAnsi="仿宋" w:cs="仿宋"/>
          <w:lang w:val="en-US" w:eastAsia="zh-CN"/>
        </w:rPr>
      </w:pPr>
      <w:r>
        <w:rPr>
          <w:rFonts w:hint="eastAsia" w:ascii="仿宋" w:hAnsi="仿宋" w:cs="仿宋"/>
          <w:lang w:val="en-US" w:eastAsia="zh-CN"/>
        </w:rPr>
        <w:t>（一）通过技术鉴定。中国机械工业联合会、中国电力企业联合会、中国电机工程学会等行业协会，省级政府机构或其认可的省级行业协会组织（省属机械工业联合会、省属电机工程学会等）出具的技术鉴定均认定为有效鉴定报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 w:hAnsi="仿宋" w:cs="仿宋"/>
          <w:lang w:val="en-US" w:eastAsia="zh-CN"/>
        </w:rPr>
      </w:pPr>
      <w:r>
        <w:rPr>
          <w:rFonts w:hint="eastAsia" w:ascii="仿宋" w:hAnsi="仿宋" w:cs="仿宋"/>
          <w:lang w:val="en-US" w:eastAsia="zh-CN"/>
        </w:rPr>
        <w:t>（二）具备CMA、CNAS等资质的检测机构出具的型式试验报告，对于暂无型式试验标准的，应提供含关键检测项的委托试验报告。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 w:hAnsi="仿宋" w:cs="仿宋"/>
          <w:lang w:val="en-US" w:eastAsia="zh-CN"/>
        </w:rPr>
      </w:pPr>
      <w:r>
        <w:rPr>
          <w:rFonts w:hint="eastAsia" w:ascii="仿宋" w:hAnsi="仿宋" w:cs="仿宋"/>
          <w:lang w:val="en-US" w:eastAsia="zh-CN"/>
        </w:rPr>
        <w:t>对安全生产影响较小的工器具类新技术产品应具备CMA、CNAS等资质的检测机构出具的试验报告，可不开展技术鉴定</w:t>
      </w:r>
      <w:bookmarkStart w:id="0" w:name="_GoBack"/>
      <w:bookmarkEnd w:id="0"/>
      <w:r>
        <w:rPr>
          <w:rFonts w:hint="eastAsia" w:ascii="仿宋" w:hAnsi="仿宋" w:cs="仿宋"/>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textAlignment w:val="auto"/>
        <w:outlineLvl w:val="0"/>
        <w:rPr>
          <w:rFonts w:hint="default" w:ascii="黑体" w:hAnsi="黑体" w:eastAsia="黑体" w:cs="黑体"/>
          <w:b/>
          <w:bCs/>
          <w:lang w:val="en-US" w:eastAsia="zh-CN"/>
        </w:rPr>
      </w:pPr>
      <w:r>
        <w:rPr>
          <w:rFonts w:hint="eastAsia" w:ascii="黑体" w:hAnsi="黑体" w:eastAsia="黑体" w:cs="黑体"/>
          <w:b/>
          <w:bCs/>
          <w:lang w:val="en-US" w:eastAsia="zh-CN"/>
        </w:rPr>
        <w:t>新产品挂网试运行费用管理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（一）新产品挂网试运行实施单位和申请方是发生挂网试运行费用的主体，有关费用应参照国家、行业或企业标准确定，费用标准示例见下表。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center"/>
        <w:textAlignment w:val="auto"/>
        <w:rPr>
          <w:rFonts w:hint="eastAsia" w:ascii="仿宋" w:hAnsi="仿宋" w:eastAsia="仿宋" w:cs="仿宋"/>
          <w:sz w:val="28"/>
          <w:szCs w:val="22"/>
          <w:lang w:val="en-US" w:eastAsia="zh-CN"/>
        </w:rPr>
      </w:pPr>
      <w:r>
        <w:rPr>
          <w:rFonts w:hint="eastAsia" w:ascii="仿宋" w:hAnsi="仿宋" w:cs="仿宋"/>
          <w:sz w:val="28"/>
          <w:szCs w:val="22"/>
          <w:lang w:val="en-US" w:eastAsia="zh-CN"/>
        </w:rPr>
        <w:t xml:space="preserve">表1 </w:t>
      </w:r>
      <w:r>
        <w:rPr>
          <w:rFonts w:hint="eastAsia" w:ascii="仿宋" w:hAnsi="仿宋" w:eastAsia="仿宋" w:cs="仿宋"/>
          <w:sz w:val="28"/>
          <w:szCs w:val="22"/>
          <w:lang w:val="en-US" w:eastAsia="zh-CN"/>
        </w:rPr>
        <w:t>新产品（技术）挂网试运行费用项目示例表</w:t>
      </w:r>
    </w:p>
    <w:tbl>
      <w:tblPr>
        <w:tblStyle w:val="9"/>
        <w:tblW w:w="950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08"/>
        <w:gridCol w:w="1168"/>
        <w:gridCol w:w="982"/>
        <w:gridCol w:w="982"/>
        <w:gridCol w:w="982"/>
        <w:gridCol w:w="2384"/>
        <w:gridCol w:w="24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08" w:type="dxa"/>
            <w:noWrap w:val="0"/>
            <w:vAlign w:val="center"/>
          </w:tcPr>
          <w:p>
            <w:pPr>
              <w:spacing w:line="288" w:lineRule="auto"/>
              <w:jc w:val="center"/>
              <w:rPr>
                <w:rFonts w:hint="eastAsia" w:ascii="仿宋_GB2312" w:hAnsi="Times New Roman" w:eastAsia="仿宋_GB2312" w:cs="Times New Roman"/>
                <w:b/>
                <w:sz w:val="24"/>
                <w:szCs w:val="22"/>
              </w:rPr>
            </w:pPr>
            <w:r>
              <w:rPr>
                <w:rFonts w:hint="eastAsia" w:ascii="仿宋_GB2312" w:hAnsi="Times New Roman" w:eastAsia="仿宋_GB2312" w:cs="Times New Roman"/>
                <w:b/>
                <w:sz w:val="24"/>
                <w:szCs w:val="22"/>
              </w:rPr>
              <w:t>序号</w:t>
            </w:r>
          </w:p>
        </w:tc>
        <w:tc>
          <w:tcPr>
            <w:tcW w:w="1168" w:type="dxa"/>
            <w:noWrap w:val="0"/>
            <w:vAlign w:val="top"/>
          </w:tcPr>
          <w:p>
            <w:pPr>
              <w:spacing w:line="288" w:lineRule="auto"/>
              <w:jc w:val="center"/>
              <w:rPr>
                <w:rFonts w:hint="eastAsia" w:ascii="仿宋_GB2312" w:hAnsi="Times New Roman" w:eastAsia="仿宋_GB2312" w:cs="Times New Roman"/>
                <w:b/>
                <w:sz w:val="24"/>
                <w:szCs w:val="22"/>
              </w:rPr>
            </w:pPr>
            <w:r>
              <w:rPr>
                <w:rFonts w:hint="eastAsia" w:ascii="仿宋_GB2312" w:hAnsi="Times New Roman" w:eastAsia="仿宋_GB2312" w:cs="Times New Roman"/>
                <w:b/>
                <w:sz w:val="24"/>
                <w:szCs w:val="22"/>
              </w:rPr>
              <w:t>项目名称</w:t>
            </w:r>
          </w:p>
        </w:tc>
        <w:tc>
          <w:tcPr>
            <w:tcW w:w="982" w:type="dxa"/>
            <w:tcBorders>
              <w:right w:val="single" w:color="auto" w:sz="4" w:space="0"/>
            </w:tcBorders>
            <w:noWrap w:val="0"/>
            <w:vAlign w:val="top"/>
          </w:tcPr>
          <w:p>
            <w:pPr>
              <w:spacing w:line="288" w:lineRule="auto"/>
              <w:jc w:val="center"/>
              <w:rPr>
                <w:rFonts w:hint="eastAsia" w:ascii="仿宋_GB2312" w:hAnsi="Times New Roman" w:eastAsia="仿宋_GB2312" w:cs="Times New Roman"/>
                <w:b/>
                <w:sz w:val="24"/>
                <w:szCs w:val="22"/>
              </w:rPr>
            </w:pPr>
            <w:r>
              <w:rPr>
                <w:rFonts w:hint="eastAsia" w:ascii="仿宋_GB2312" w:hAnsi="Times New Roman" w:eastAsia="仿宋_GB2312" w:cs="Times New Roman"/>
                <w:b/>
                <w:sz w:val="24"/>
                <w:szCs w:val="22"/>
              </w:rPr>
              <w:t>收费部门</w:t>
            </w:r>
          </w:p>
        </w:tc>
        <w:tc>
          <w:tcPr>
            <w:tcW w:w="982" w:type="dxa"/>
            <w:tcBorders>
              <w:left w:val="single" w:color="auto" w:sz="4" w:space="0"/>
            </w:tcBorders>
            <w:noWrap w:val="0"/>
            <w:vAlign w:val="top"/>
          </w:tcPr>
          <w:p>
            <w:pPr>
              <w:spacing w:line="288" w:lineRule="auto"/>
              <w:jc w:val="center"/>
              <w:rPr>
                <w:rFonts w:hint="eastAsia" w:ascii="仿宋_GB2312" w:hAnsi="Times New Roman" w:eastAsia="仿宋_GB2312" w:cs="Times New Roman"/>
                <w:b/>
                <w:sz w:val="24"/>
                <w:szCs w:val="22"/>
              </w:rPr>
            </w:pPr>
            <w:r>
              <w:rPr>
                <w:rFonts w:hint="eastAsia" w:ascii="仿宋_GB2312" w:hAnsi="Times New Roman" w:eastAsia="仿宋_GB2312" w:cs="Times New Roman"/>
                <w:b/>
                <w:sz w:val="24"/>
                <w:szCs w:val="22"/>
              </w:rPr>
              <w:t>缴费部门</w:t>
            </w:r>
          </w:p>
        </w:tc>
        <w:tc>
          <w:tcPr>
            <w:tcW w:w="982" w:type="dxa"/>
            <w:noWrap w:val="0"/>
            <w:vAlign w:val="top"/>
          </w:tcPr>
          <w:p>
            <w:pPr>
              <w:spacing w:line="288" w:lineRule="auto"/>
              <w:jc w:val="center"/>
              <w:rPr>
                <w:rFonts w:hint="eastAsia" w:ascii="仿宋_GB2312" w:hAnsi="Times New Roman" w:eastAsia="仿宋_GB2312" w:cs="Times New Roman"/>
                <w:b/>
                <w:sz w:val="24"/>
                <w:szCs w:val="22"/>
              </w:rPr>
            </w:pPr>
            <w:r>
              <w:rPr>
                <w:rFonts w:hint="eastAsia" w:ascii="仿宋_GB2312" w:hAnsi="Times New Roman" w:eastAsia="仿宋_GB2312" w:cs="Times New Roman"/>
                <w:b/>
                <w:sz w:val="24"/>
                <w:szCs w:val="22"/>
              </w:rPr>
              <w:t>缴费时间</w:t>
            </w:r>
          </w:p>
        </w:tc>
        <w:tc>
          <w:tcPr>
            <w:tcW w:w="2384" w:type="dxa"/>
            <w:noWrap w:val="0"/>
            <w:vAlign w:val="top"/>
          </w:tcPr>
          <w:p>
            <w:pPr>
              <w:tabs>
                <w:tab w:val="center" w:pos="1228"/>
                <w:tab w:val="right" w:pos="2456"/>
              </w:tabs>
              <w:spacing w:line="288" w:lineRule="auto"/>
              <w:jc w:val="center"/>
              <w:rPr>
                <w:rFonts w:hint="eastAsia" w:ascii="仿宋_GB2312" w:hAnsi="Times New Roman" w:eastAsia="仿宋_GB2312" w:cs="Times New Roman"/>
                <w:b/>
                <w:sz w:val="24"/>
                <w:szCs w:val="22"/>
              </w:rPr>
            </w:pPr>
            <w:r>
              <w:rPr>
                <w:rFonts w:hint="eastAsia" w:ascii="仿宋_GB2312" w:hAnsi="Times New Roman" w:eastAsia="仿宋_GB2312" w:cs="Times New Roman"/>
                <w:b/>
                <w:sz w:val="24"/>
                <w:szCs w:val="22"/>
              </w:rPr>
              <w:t>额度依据</w:t>
            </w:r>
          </w:p>
        </w:tc>
        <w:tc>
          <w:tcPr>
            <w:tcW w:w="2400" w:type="dxa"/>
            <w:noWrap w:val="0"/>
            <w:vAlign w:val="top"/>
          </w:tcPr>
          <w:p>
            <w:pPr>
              <w:tabs>
                <w:tab w:val="center" w:pos="1228"/>
                <w:tab w:val="right" w:pos="2456"/>
              </w:tabs>
              <w:spacing w:line="288" w:lineRule="auto"/>
              <w:jc w:val="center"/>
              <w:rPr>
                <w:rFonts w:ascii="仿宋_GB2312" w:hAnsi="Times New Roman" w:eastAsia="仿宋_GB2312" w:cs="Times New Roman"/>
                <w:b/>
                <w:sz w:val="24"/>
                <w:szCs w:val="22"/>
              </w:rPr>
            </w:pPr>
            <w:r>
              <w:rPr>
                <w:rFonts w:hint="eastAsia" w:ascii="仿宋_GB2312" w:hAnsi="Times New Roman" w:eastAsia="仿宋_GB2312" w:cs="Times New Roman"/>
                <w:b/>
                <w:sz w:val="24"/>
                <w:szCs w:val="22"/>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08" w:type="dxa"/>
            <w:noWrap w:val="0"/>
            <w:vAlign w:val="center"/>
          </w:tcPr>
          <w:p>
            <w:pPr>
              <w:spacing w:line="288" w:lineRule="auto"/>
              <w:jc w:val="center"/>
              <w:rPr>
                <w:rFonts w:hint="eastAsia" w:ascii="仿宋_GB2312" w:hAnsi="Times New Roman" w:eastAsia="仿宋_GB2312" w:cs="Times New Roman"/>
                <w:b/>
                <w:sz w:val="24"/>
                <w:szCs w:val="22"/>
              </w:rPr>
            </w:pPr>
            <w:r>
              <w:rPr>
                <w:rFonts w:hint="eastAsia" w:ascii="仿宋_GB2312" w:hAnsi="Times New Roman" w:eastAsia="仿宋_GB2312" w:cs="Times New Roman"/>
                <w:b/>
                <w:sz w:val="24"/>
                <w:szCs w:val="22"/>
              </w:rPr>
              <w:t>1</w:t>
            </w:r>
          </w:p>
        </w:tc>
        <w:tc>
          <w:tcPr>
            <w:tcW w:w="8898" w:type="dxa"/>
            <w:gridSpan w:val="6"/>
            <w:noWrap w:val="0"/>
            <w:vAlign w:val="center"/>
          </w:tcPr>
          <w:p>
            <w:pPr>
              <w:jc w:val="left"/>
              <w:rPr>
                <w:rFonts w:hint="eastAsia" w:ascii="仿宋_GB2312" w:hAnsi="Times New Roman" w:eastAsia="仿宋_GB2312" w:cs="Times New Roman"/>
                <w:b/>
                <w:sz w:val="24"/>
                <w:szCs w:val="22"/>
              </w:rPr>
            </w:pPr>
            <w:r>
              <w:rPr>
                <w:rFonts w:hint="eastAsia" w:ascii="仿宋_GB2312" w:hAnsi="Times New Roman" w:eastAsia="仿宋_GB2312" w:cs="Times New Roman"/>
                <w:b/>
                <w:sz w:val="24"/>
                <w:szCs w:val="22"/>
              </w:rPr>
              <w:t>产品费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5" w:hRule="atLeast"/>
          <w:jc w:val="center"/>
        </w:trPr>
        <w:tc>
          <w:tcPr>
            <w:tcW w:w="608" w:type="dxa"/>
            <w:noWrap w:val="0"/>
            <w:vAlign w:val="center"/>
          </w:tcPr>
          <w:p>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1.1</w:t>
            </w:r>
          </w:p>
        </w:tc>
        <w:tc>
          <w:tcPr>
            <w:tcW w:w="1168" w:type="dxa"/>
            <w:noWrap w:val="0"/>
            <w:vAlign w:val="center"/>
          </w:tcPr>
          <w:p>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安装费</w:t>
            </w:r>
          </w:p>
        </w:tc>
        <w:tc>
          <w:tcPr>
            <w:tcW w:w="982" w:type="dxa"/>
            <w:tcBorders>
              <w:right w:val="single" w:color="auto" w:sz="4" w:space="0"/>
            </w:tcBorders>
            <w:noWrap w:val="0"/>
            <w:vAlign w:val="center"/>
          </w:tcPr>
          <w:p>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实施单位</w:t>
            </w:r>
          </w:p>
        </w:tc>
        <w:tc>
          <w:tcPr>
            <w:tcW w:w="982" w:type="dxa"/>
            <w:tcBorders>
              <w:left w:val="single" w:color="auto" w:sz="4" w:space="0"/>
            </w:tcBorders>
            <w:noWrap w:val="0"/>
            <w:vAlign w:val="center"/>
          </w:tcPr>
          <w:p>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申请方</w:t>
            </w:r>
          </w:p>
        </w:tc>
        <w:tc>
          <w:tcPr>
            <w:tcW w:w="982" w:type="dxa"/>
            <w:noWrap w:val="0"/>
            <w:vAlign w:val="center"/>
          </w:tcPr>
          <w:p>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试运行前</w:t>
            </w:r>
          </w:p>
        </w:tc>
        <w:tc>
          <w:tcPr>
            <w:tcW w:w="2384" w:type="dxa"/>
            <w:noWrap w:val="0"/>
            <w:vAlign w:val="center"/>
          </w:tcPr>
          <w:p>
            <w:pPr>
              <w:spacing w:line="288" w:lineRule="auto"/>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依据项目实际预算情况确定</w:t>
            </w:r>
          </w:p>
        </w:tc>
        <w:tc>
          <w:tcPr>
            <w:tcW w:w="2400" w:type="dxa"/>
            <w:noWrap w:val="0"/>
            <w:vAlign w:val="top"/>
          </w:tcPr>
          <w:p>
            <w:pPr>
              <w:spacing w:line="288" w:lineRule="auto"/>
              <w:rPr>
                <w:rFonts w:hint="eastAsia" w:ascii="仿宋_GB2312" w:hAnsi="Times New Roman" w:eastAsia="仿宋_GB2312" w:cs="Times New Roman"/>
                <w:sz w:val="24"/>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7" w:hRule="atLeast"/>
          <w:jc w:val="center"/>
        </w:trPr>
        <w:tc>
          <w:tcPr>
            <w:tcW w:w="608" w:type="dxa"/>
            <w:noWrap w:val="0"/>
            <w:vAlign w:val="center"/>
          </w:tcPr>
          <w:p>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1.2</w:t>
            </w:r>
          </w:p>
        </w:tc>
        <w:tc>
          <w:tcPr>
            <w:tcW w:w="1168" w:type="dxa"/>
            <w:noWrap w:val="0"/>
            <w:vAlign w:val="center"/>
          </w:tcPr>
          <w:p>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调试费</w:t>
            </w:r>
          </w:p>
        </w:tc>
        <w:tc>
          <w:tcPr>
            <w:tcW w:w="982" w:type="dxa"/>
            <w:tcBorders>
              <w:right w:val="single" w:color="auto" w:sz="4" w:space="0"/>
            </w:tcBorders>
            <w:noWrap w:val="0"/>
            <w:vAlign w:val="center"/>
          </w:tcPr>
          <w:p>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实施单位</w:t>
            </w:r>
          </w:p>
        </w:tc>
        <w:tc>
          <w:tcPr>
            <w:tcW w:w="982" w:type="dxa"/>
            <w:tcBorders>
              <w:left w:val="single" w:color="auto" w:sz="4" w:space="0"/>
            </w:tcBorders>
            <w:noWrap w:val="0"/>
            <w:vAlign w:val="center"/>
          </w:tcPr>
          <w:p>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申请方</w:t>
            </w:r>
          </w:p>
        </w:tc>
        <w:tc>
          <w:tcPr>
            <w:tcW w:w="982" w:type="dxa"/>
            <w:noWrap w:val="0"/>
            <w:vAlign w:val="center"/>
          </w:tcPr>
          <w:p>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试运行前</w:t>
            </w:r>
          </w:p>
        </w:tc>
        <w:tc>
          <w:tcPr>
            <w:tcW w:w="2384" w:type="dxa"/>
            <w:noWrap w:val="0"/>
            <w:vAlign w:val="center"/>
          </w:tcPr>
          <w:p>
            <w:pPr>
              <w:spacing w:line="288" w:lineRule="auto"/>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《电力建设工程预算定额》</w:t>
            </w:r>
          </w:p>
        </w:tc>
        <w:tc>
          <w:tcPr>
            <w:tcW w:w="2400" w:type="dxa"/>
            <w:noWrap w:val="0"/>
            <w:vAlign w:val="top"/>
          </w:tcPr>
          <w:p>
            <w:pPr>
              <w:spacing w:line="288" w:lineRule="auto"/>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按单体调试、分系统调试、整套自动调试等分类别计算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7" w:hRule="atLeast"/>
          <w:jc w:val="center"/>
        </w:trPr>
        <w:tc>
          <w:tcPr>
            <w:tcW w:w="608" w:type="dxa"/>
            <w:noWrap w:val="0"/>
            <w:vAlign w:val="center"/>
          </w:tcPr>
          <w:p>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1.3</w:t>
            </w:r>
          </w:p>
        </w:tc>
        <w:tc>
          <w:tcPr>
            <w:tcW w:w="1168" w:type="dxa"/>
            <w:noWrap w:val="0"/>
            <w:vAlign w:val="center"/>
          </w:tcPr>
          <w:p>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运行检修费</w:t>
            </w:r>
          </w:p>
        </w:tc>
        <w:tc>
          <w:tcPr>
            <w:tcW w:w="982" w:type="dxa"/>
            <w:tcBorders>
              <w:right w:val="single" w:color="auto" w:sz="4" w:space="0"/>
            </w:tcBorders>
            <w:noWrap w:val="0"/>
            <w:vAlign w:val="center"/>
          </w:tcPr>
          <w:p>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实施单位</w:t>
            </w:r>
          </w:p>
        </w:tc>
        <w:tc>
          <w:tcPr>
            <w:tcW w:w="982" w:type="dxa"/>
            <w:tcBorders>
              <w:left w:val="single" w:color="auto" w:sz="4" w:space="0"/>
            </w:tcBorders>
            <w:noWrap w:val="0"/>
            <w:vAlign w:val="center"/>
          </w:tcPr>
          <w:p>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申请方</w:t>
            </w:r>
          </w:p>
        </w:tc>
        <w:tc>
          <w:tcPr>
            <w:tcW w:w="982" w:type="dxa"/>
            <w:noWrap w:val="0"/>
            <w:vAlign w:val="center"/>
          </w:tcPr>
          <w:p>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试运行前</w:t>
            </w:r>
          </w:p>
        </w:tc>
        <w:tc>
          <w:tcPr>
            <w:tcW w:w="2384" w:type="dxa"/>
            <w:noWrap w:val="0"/>
            <w:vAlign w:val="center"/>
          </w:tcPr>
          <w:p>
            <w:pPr>
              <w:spacing w:line="288" w:lineRule="auto"/>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《南方电网公司生产项目准入及预算标准》</w:t>
            </w:r>
          </w:p>
        </w:tc>
        <w:tc>
          <w:tcPr>
            <w:tcW w:w="2400" w:type="dxa"/>
            <w:noWrap w:val="0"/>
            <w:vAlign w:val="top"/>
          </w:tcPr>
          <w:p>
            <w:pPr>
              <w:spacing w:line="288" w:lineRule="auto"/>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综合考虑输变电、线路等各类不同性质工程进行计算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67" w:hRule="atLeast"/>
          <w:jc w:val="center"/>
        </w:trPr>
        <w:tc>
          <w:tcPr>
            <w:tcW w:w="608" w:type="dxa"/>
            <w:noWrap w:val="0"/>
            <w:vAlign w:val="center"/>
          </w:tcPr>
          <w:p>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1.4</w:t>
            </w:r>
          </w:p>
        </w:tc>
        <w:tc>
          <w:tcPr>
            <w:tcW w:w="1168" w:type="dxa"/>
            <w:noWrap w:val="0"/>
            <w:vAlign w:val="center"/>
          </w:tcPr>
          <w:p>
            <w:pPr>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拆除费</w:t>
            </w:r>
          </w:p>
        </w:tc>
        <w:tc>
          <w:tcPr>
            <w:tcW w:w="982" w:type="dxa"/>
            <w:tcBorders>
              <w:right w:val="single" w:color="auto" w:sz="4" w:space="0"/>
            </w:tcBorders>
            <w:noWrap w:val="0"/>
            <w:vAlign w:val="center"/>
          </w:tcPr>
          <w:p>
            <w:pPr>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实施单位</w:t>
            </w:r>
          </w:p>
        </w:tc>
        <w:tc>
          <w:tcPr>
            <w:tcW w:w="982" w:type="dxa"/>
            <w:tcBorders>
              <w:left w:val="single" w:color="auto" w:sz="4" w:space="0"/>
            </w:tcBorders>
            <w:noWrap w:val="0"/>
            <w:vAlign w:val="center"/>
          </w:tcPr>
          <w:p>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申请方</w:t>
            </w:r>
          </w:p>
        </w:tc>
        <w:tc>
          <w:tcPr>
            <w:tcW w:w="982" w:type="dxa"/>
            <w:noWrap w:val="0"/>
            <w:vAlign w:val="center"/>
          </w:tcPr>
          <w:p>
            <w:pPr>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试运行后</w:t>
            </w:r>
          </w:p>
        </w:tc>
        <w:tc>
          <w:tcPr>
            <w:tcW w:w="2384" w:type="dxa"/>
            <w:noWrap w:val="0"/>
            <w:vAlign w:val="center"/>
          </w:tcPr>
          <w:p>
            <w:pP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《电力建设工程预算定额》</w:t>
            </w:r>
          </w:p>
        </w:tc>
        <w:tc>
          <w:tcPr>
            <w:tcW w:w="2400" w:type="dxa"/>
            <w:noWrap w:val="0"/>
            <w:vAlign w:val="top"/>
          </w:tcPr>
          <w:p>
            <w:pP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试运行后未批准同意保留使用的产品，由新产品（技术）申请方承担拆除费用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08" w:type="dxa"/>
            <w:noWrap w:val="0"/>
            <w:vAlign w:val="center"/>
          </w:tcPr>
          <w:p>
            <w:pPr>
              <w:spacing w:line="288" w:lineRule="auto"/>
              <w:jc w:val="center"/>
              <w:rPr>
                <w:rFonts w:hint="eastAsia" w:ascii="仿宋_GB2312" w:hAnsi="Times New Roman" w:eastAsia="仿宋_GB2312" w:cs="Times New Roman"/>
                <w:b/>
                <w:sz w:val="24"/>
                <w:szCs w:val="22"/>
              </w:rPr>
            </w:pPr>
            <w:r>
              <w:rPr>
                <w:rFonts w:hint="eastAsia" w:ascii="仿宋_GB2312" w:hAnsi="Times New Roman" w:eastAsia="仿宋_GB2312" w:cs="Times New Roman"/>
                <w:b/>
                <w:sz w:val="24"/>
                <w:szCs w:val="22"/>
              </w:rPr>
              <w:t>2</w:t>
            </w:r>
          </w:p>
        </w:tc>
        <w:tc>
          <w:tcPr>
            <w:tcW w:w="8898" w:type="dxa"/>
            <w:gridSpan w:val="6"/>
            <w:noWrap w:val="0"/>
            <w:vAlign w:val="center"/>
          </w:tcPr>
          <w:p>
            <w:pPr>
              <w:rPr>
                <w:rFonts w:hint="eastAsia" w:ascii="仿宋_GB2312" w:hAnsi="Times New Roman" w:eastAsia="仿宋_GB2312" w:cs="Times New Roman"/>
                <w:b/>
                <w:sz w:val="24"/>
                <w:szCs w:val="22"/>
              </w:rPr>
            </w:pPr>
            <w:r>
              <w:rPr>
                <w:rFonts w:hint="eastAsia" w:ascii="仿宋_GB2312" w:hAnsi="Times New Roman" w:eastAsia="仿宋_GB2312" w:cs="Times New Roman"/>
                <w:b/>
                <w:sz w:val="24"/>
                <w:szCs w:val="22"/>
              </w:rPr>
              <w:t>商业保险费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5" w:hRule="atLeast"/>
          <w:jc w:val="center"/>
        </w:trPr>
        <w:tc>
          <w:tcPr>
            <w:tcW w:w="608" w:type="dxa"/>
            <w:noWrap w:val="0"/>
            <w:vAlign w:val="center"/>
          </w:tcPr>
          <w:p>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2.1</w:t>
            </w:r>
          </w:p>
        </w:tc>
        <w:tc>
          <w:tcPr>
            <w:tcW w:w="1168" w:type="dxa"/>
            <w:noWrap w:val="0"/>
            <w:vAlign w:val="center"/>
          </w:tcPr>
          <w:p>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产品质量险</w:t>
            </w:r>
          </w:p>
        </w:tc>
        <w:tc>
          <w:tcPr>
            <w:tcW w:w="982" w:type="dxa"/>
            <w:tcBorders>
              <w:right w:val="single" w:color="auto" w:sz="4" w:space="0"/>
            </w:tcBorders>
            <w:noWrap w:val="0"/>
            <w:vAlign w:val="center"/>
          </w:tcPr>
          <w:p>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实施单位</w:t>
            </w:r>
          </w:p>
        </w:tc>
        <w:tc>
          <w:tcPr>
            <w:tcW w:w="982" w:type="dxa"/>
            <w:tcBorders>
              <w:left w:val="single" w:color="auto" w:sz="4" w:space="0"/>
            </w:tcBorders>
            <w:noWrap w:val="0"/>
            <w:vAlign w:val="center"/>
          </w:tcPr>
          <w:p>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申请方</w:t>
            </w:r>
          </w:p>
        </w:tc>
        <w:tc>
          <w:tcPr>
            <w:tcW w:w="982" w:type="dxa"/>
            <w:noWrap w:val="0"/>
            <w:vAlign w:val="center"/>
          </w:tcPr>
          <w:p>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试运行前</w:t>
            </w:r>
          </w:p>
        </w:tc>
        <w:tc>
          <w:tcPr>
            <w:tcW w:w="2384" w:type="dxa"/>
            <w:noWrap w:val="0"/>
            <w:vAlign w:val="center"/>
          </w:tcPr>
          <w:p>
            <w:pPr>
              <w:spacing w:line="288" w:lineRule="auto"/>
              <w:jc w:val="left"/>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投保额度原则上应按设备全款缴纳</w:t>
            </w:r>
          </w:p>
        </w:tc>
        <w:tc>
          <w:tcPr>
            <w:tcW w:w="2400" w:type="dxa"/>
            <w:noWrap w:val="0"/>
            <w:vAlign w:val="center"/>
          </w:tcPr>
          <w:p>
            <w:pPr>
              <w:spacing w:line="288" w:lineRule="auto"/>
              <w:jc w:val="center"/>
              <w:rPr>
                <w:rFonts w:hint="eastAsia" w:ascii="仿宋_GB2312" w:hAnsi="Times New Roman" w:eastAsia="仿宋_GB2312" w:cs="Times New Roman"/>
                <w:sz w:val="24"/>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8" w:hRule="atLeast"/>
          <w:jc w:val="center"/>
        </w:trPr>
        <w:tc>
          <w:tcPr>
            <w:tcW w:w="608" w:type="dxa"/>
            <w:noWrap w:val="0"/>
            <w:vAlign w:val="center"/>
          </w:tcPr>
          <w:p>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2.2</w:t>
            </w:r>
          </w:p>
        </w:tc>
        <w:tc>
          <w:tcPr>
            <w:tcW w:w="1168" w:type="dxa"/>
            <w:noWrap w:val="0"/>
            <w:vAlign w:val="center"/>
          </w:tcPr>
          <w:p>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产品责任险</w:t>
            </w:r>
          </w:p>
        </w:tc>
        <w:tc>
          <w:tcPr>
            <w:tcW w:w="982" w:type="dxa"/>
            <w:tcBorders>
              <w:right w:val="single" w:color="auto" w:sz="4" w:space="0"/>
            </w:tcBorders>
            <w:noWrap w:val="0"/>
            <w:vAlign w:val="center"/>
          </w:tcPr>
          <w:p>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实施单位</w:t>
            </w:r>
          </w:p>
        </w:tc>
        <w:tc>
          <w:tcPr>
            <w:tcW w:w="982" w:type="dxa"/>
            <w:tcBorders>
              <w:left w:val="single" w:color="auto" w:sz="4" w:space="0"/>
            </w:tcBorders>
            <w:noWrap w:val="0"/>
            <w:vAlign w:val="center"/>
          </w:tcPr>
          <w:p>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申请方</w:t>
            </w:r>
          </w:p>
        </w:tc>
        <w:tc>
          <w:tcPr>
            <w:tcW w:w="982" w:type="dxa"/>
            <w:noWrap w:val="0"/>
            <w:vAlign w:val="center"/>
          </w:tcPr>
          <w:p>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试运行前</w:t>
            </w:r>
          </w:p>
        </w:tc>
        <w:tc>
          <w:tcPr>
            <w:tcW w:w="2384" w:type="dxa"/>
            <w:noWrap w:val="0"/>
            <w:vAlign w:val="top"/>
          </w:tcPr>
          <w:p>
            <w:pPr>
              <w:spacing w:line="288" w:lineRule="auto"/>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投保额度由挂网试运行实施单位进行评估确定</w:t>
            </w:r>
          </w:p>
        </w:tc>
        <w:tc>
          <w:tcPr>
            <w:tcW w:w="2400" w:type="dxa"/>
            <w:noWrap w:val="0"/>
            <w:vAlign w:val="center"/>
          </w:tcPr>
          <w:p>
            <w:pPr>
              <w:spacing w:line="288" w:lineRule="auto"/>
              <w:jc w:val="center"/>
              <w:rPr>
                <w:rFonts w:hint="eastAsia" w:ascii="仿宋_GB2312" w:hAnsi="Times New Roman" w:eastAsia="仿宋_GB2312" w:cs="Times New Roman"/>
                <w:sz w:val="24"/>
                <w:szCs w:val="22"/>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 w:hAnsi="仿宋" w:eastAsia="仿宋" w:cs="仿宋"/>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（二）新产品原则上由申请方无偿提供，对设备费用较高的所涉及安装费、调试费、拆除费等可由双方协商解决，其中需要申请方承担的费用（拆除费除外）需在项目试运行前交纳。</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三）新产品申请方应向实施单位交纳运行检修费，主要包括挂网试运行产品的日常检测、试验、检修和运行所产生的费用，额度依据《南方电网公司生产项目准入及预算标准》计算后确定，于挂网试运行前交纳。</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（四）新产品申请方应充分利用商业保险等经济手段转移新产品的使用风险。商业保险的赔偿限额应能充分保障事故造成的损失，基本险种应包括：</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1．产品质量险。用以对新产品本身的损毁进行保障（包括零部件的修复重置、产品更换退货及以上原因引起的运杂费等）。投保额度原则上应按设备全款缴纳。</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2．产品责任险。用以对新产品造成的第三者人身伤害或财产损失进行赔偿。投保期限需满足挂网试运行时间，投保额度由挂网试运行实施单位进行评估确定。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default" w:ascii="仿宋" w:hAnsi="仿宋" w:cs="仿宋"/>
          <w:lang w:val="en-US" w:eastAsia="zh-CN"/>
        </w:rPr>
      </w:pPr>
      <w:r>
        <w:rPr>
          <w:rFonts w:hint="eastAsia" w:ascii="仿宋" w:hAnsi="仿宋" w:eastAsia="仿宋" w:cs="仿宋"/>
          <w:lang w:val="en-US" w:eastAsia="zh-CN"/>
        </w:rPr>
        <w:t>（五）新产品挂网试运行费用按公司有关财务管理相关规定管理。</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textAlignment w:val="auto"/>
        <w:outlineLvl w:val="0"/>
        <w:rPr>
          <w:rFonts w:hint="eastAsia" w:ascii="黑体" w:hAnsi="黑体" w:eastAsia="黑体" w:cs="黑体"/>
          <w:b/>
          <w:bCs/>
          <w:lang w:val="en-US" w:eastAsia="zh-CN"/>
        </w:rPr>
      </w:pPr>
      <w:r>
        <w:rPr>
          <w:rFonts w:hint="eastAsia" w:ascii="黑体" w:hAnsi="黑体" w:eastAsia="黑体" w:cs="黑体"/>
          <w:b/>
          <w:bCs/>
          <w:lang w:val="en-US" w:eastAsia="zh-CN"/>
        </w:rPr>
        <w:t>工作流程</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outlineLvl w:val="1"/>
        <w:rPr>
          <w:rFonts w:hint="eastAsia" w:ascii="仿宋" w:hAnsi="仿宋" w:cs="仿宋"/>
          <w:lang w:val="en-US" w:eastAsia="zh-CN"/>
        </w:rPr>
      </w:pPr>
      <w:r>
        <w:rPr>
          <w:rFonts w:hint="eastAsia" w:ascii="仿宋" w:hAnsi="仿宋" w:cs="仿宋"/>
          <w:lang w:val="en-US" w:eastAsia="zh-CN"/>
        </w:rPr>
        <w:t>新技术产品挂网试运行可行性评估</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lang w:val="en-US" w:eastAsia="zh-CN"/>
        </w:rPr>
      </w:pPr>
      <w:r>
        <w:rPr>
          <w:rFonts w:hint="eastAsia" w:ascii="仿宋" w:hAnsi="仿宋" w:cs="仿宋"/>
          <w:lang w:val="en-US" w:eastAsia="zh-CN"/>
        </w:rPr>
        <w:t>对征集的挂网试运行申报项目由南方电网公司组织开展新技术产品挂网试运行可行性评估，包括以下内容：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lang w:val="en-US" w:eastAsia="zh-CN"/>
        </w:rPr>
      </w:pPr>
      <w:r>
        <w:rPr>
          <w:rFonts w:hint="eastAsia" w:ascii="仿宋" w:hAnsi="仿宋" w:cs="仿宋"/>
          <w:lang w:val="en-US" w:eastAsia="zh-CN"/>
        </w:rPr>
        <w:t>1．新技术产品的技术成熟度，包括技术鉴定、检测技术报告是否满足要求，评审技术先进性、应用必要性和挂网试运行的可行性。</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lang w:val="en-US" w:eastAsia="zh-CN"/>
        </w:rPr>
      </w:pPr>
      <w:r>
        <w:rPr>
          <w:rFonts w:hint="eastAsia" w:ascii="仿宋" w:hAnsi="仿宋" w:cs="仿宋"/>
          <w:lang w:val="en-US" w:eastAsia="zh-CN"/>
        </w:rPr>
        <w:t>2．挂网试运行安全风险，从人身、电网、设备、网络安全等方面对安全风险进行评估。</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lang w:val="en-US" w:eastAsia="zh-CN"/>
        </w:rPr>
      </w:pPr>
      <w:r>
        <w:rPr>
          <w:rFonts w:hint="eastAsia" w:ascii="仿宋" w:hAnsi="仿宋" w:cs="仿宋"/>
          <w:lang w:val="en-US" w:eastAsia="zh-CN"/>
        </w:rPr>
        <w:t>3．关键元器件、材料、软件、系统的自主可控情况。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lang w:val="en-US" w:eastAsia="zh-CN"/>
        </w:rPr>
      </w:pPr>
      <w:r>
        <w:rPr>
          <w:rFonts w:hint="eastAsia" w:ascii="仿宋" w:hAnsi="仿宋" w:cs="仿宋"/>
          <w:lang w:val="en-US" w:eastAsia="zh-CN"/>
        </w:rPr>
        <w:t>4．新产品生产企业是否取得相应的资质认证、是否具备较强的研发实力和生产能力、是否具备完善的质量与售后保障能力等。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lang w:val="en-US" w:eastAsia="zh-CN"/>
        </w:rPr>
      </w:pPr>
      <w:r>
        <w:rPr>
          <w:rFonts w:hint="eastAsia" w:ascii="仿宋" w:hAnsi="仿宋" w:cs="仿宋"/>
          <w:lang w:val="en-US" w:eastAsia="zh-CN"/>
        </w:rPr>
        <w:t>5．新技术产品的适用范围、应用条件、保障措施。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lang w:val="en-US" w:eastAsia="zh-CN"/>
        </w:rPr>
      </w:pPr>
      <w:r>
        <w:rPr>
          <w:rFonts w:hint="eastAsia" w:ascii="仿宋" w:hAnsi="仿宋" w:cs="仿宋"/>
          <w:lang w:val="en-US" w:eastAsia="zh-CN"/>
        </w:rPr>
        <w:t>6. 新技术产品进行挂网试运行原则上不得超过10台（套）。对于数量较多的电能计量设备的新技术产品，不得超过10000台（套）。</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outlineLvl w:val="1"/>
        <w:rPr>
          <w:rFonts w:hint="eastAsia" w:ascii="仿宋" w:hAnsi="仿宋" w:cs="仿宋"/>
          <w:lang w:val="en-US" w:eastAsia="zh-CN"/>
        </w:rPr>
      </w:pPr>
      <w:r>
        <w:rPr>
          <w:rFonts w:hint="eastAsia" w:ascii="仿宋" w:hAnsi="仿宋" w:cs="仿宋"/>
          <w:lang w:val="en-US" w:eastAsia="zh-CN"/>
        </w:rPr>
        <w:t>开展挂网试运行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default" w:ascii="仿宋" w:hAnsi="仿宋" w:eastAsia="仿宋" w:cs="仿宋"/>
          <w:sz w:val="32"/>
          <w:szCs w:val="32"/>
          <w:lang w:val="en-US" w:eastAsia="zh-CN"/>
        </w:rPr>
      </w:pPr>
      <w:r>
        <w:rPr>
          <w:rFonts w:hint="eastAsia" w:ascii="仿宋" w:hAnsi="仿宋" w:cs="仿宋"/>
          <w:sz w:val="32"/>
          <w:szCs w:val="32"/>
          <w:lang w:val="en-US" w:eastAsia="zh-CN"/>
        </w:rPr>
        <w:t>通过挂网试运行可行性评审的项目，纳入公司挂网试运行计划，由南方电网公司安排系统内相关单位负责实施。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1.实施单位应组织申请方对挂网试运行涉及的调度运行、生产运行及安全生产管理人员开展培训，掌握新产品的运行特性、参数，将相关要求落实到运行规程。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2.实施单位应与挂网试运行申请方签订书面协议，明确双方在试运行期间的权利和义务，落实挂网试运行风险规避措施，督查挂网试运行申请方购买相关保险。</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3.实施单位组织协调挂网试运行申请方完成安装、调试、投运等工作，并提供充足的备品备件。挂网试运行前应严格执行公司网络安全技术管控措施。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4.实施单位应全过程跟踪运行情况，开展运行维护、检测、试验等工作。对于试运行过程中暴露重大安全风险和隐患的，经实施单位评估后，应及时予以退出。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5.对于新技术产品，公司专业业务部门应组织实施单位结合挂网试运行情况编制全生命周期标准（含技术标准、典型设计、技术规范书、运维规程、作业标准等），可以根据情况采用快速程序先制定公司试行技术标准，并根据应用情况，上升为公司技术标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6.新产品挂网试运行时间应满足在一个完整运行周期内不同运行条件及工况的考核要求，原则上不少于12个月。在非公司系统内已有挂网试运行业绩的，可以适当缩短挂网试运行时间，原则上不少于6个月。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7.新产品需出具挂网试运行证明及应用证明的，必须由地市级及以上专业业务部门按管理职责界面出具。</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outlineLvl w:val="1"/>
        <w:rPr>
          <w:rFonts w:hint="eastAsia" w:ascii="仿宋" w:hAnsi="仿宋" w:cs="仿宋"/>
          <w:lang w:val="en-US" w:eastAsia="zh-CN"/>
        </w:rPr>
      </w:pPr>
      <w:r>
        <w:rPr>
          <w:rFonts w:hint="eastAsia" w:ascii="仿宋" w:hAnsi="仿宋" w:cs="仿宋"/>
          <w:lang w:val="en-US" w:eastAsia="zh-CN"/>
        </w:rPr>
        <w:t>新产品综合评价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对完成挂网试运行实施的新产品，开展综合评价。挂网试运行综合评价结论分为三类：通过挂网试运行、需重复性试验或扩大挂网试运行范围、未通过挂网试运行。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1.经评价，挂网试运行期间运行考验充分、运行状况良好、标准齐全、安全风险小、应用前景广阔的，结论可为通过挂网试运行。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2.经评价，挂网试运行期间运行考验不充分的，结论宜为需重复性试验或扩大挂网试运行范围。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3.经评价，挂网试运行期间运行状况不佳、应用安全风险较大，结论宜为未通过挂网试运行。</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outlineLvl w:val="1"/>
        <w:rPr>
          <w:rFonts w:hint="eastAsia" w:ascii="仿宋" w:hAnsi="仿宋" w:cs="仿宋"/>
          <w:lang w:val="en-US" w:eastAsia="zh-CN"/>
        </w:rPr>
      </w:pPr>
      <w:r>
        <w:rPr>
          <w:rFonts w:hint="eastAsia" w:ascii="仿宋" w:hAnsi="仿宋" w:cs="仿宋"/>
          <w:lang w:val="en-US" w:eastAsia="zh-CN"/>
        </w:rPr>
        <w:t>推广应用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南方电网公司对通过挂网试运行清单中的新技术产品开展推广应用评审，明确是否纳入推广应用目录。纳入推广应用目录应满足以下条件：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1．通过新产品综合评价。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2．完成新产品鉴定。应具备由中国机械工业联合会、中国电力企业联合会、中国电机工程学会等行业协会，省级政府机构或其认可的省级行业协会组织（省属机械工业联合会、省属电机工程学会等）出具的新产品鉴定报告，明确是否通过新产品鉴定及是否具备投入量产的结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3．技术具有一定的创新性，产品质量、服务水平等综合指标国内领先，对电网发展、技术进步以及对国民经济和社会发展具有显著的作用和效益。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default" w:ascii="仿宋" w:hAnsi="仿宋" w:cs="仿宋"/>
          <w:sz w:val="32"/>
          <w:szCs w:val="32"/>
          <w:lang w:val="en-US" w:eastAsia="zh-CN"/>
        </w:rPr>
      </w:pPr>
      <w:r>
        <w:rPr>
          <w:rFonts w:hint="eastAsia" w:ascii="仿宋" w:hAnsi="仿宋" w:cs="仿宋"/>
          <w:sz w:val="32"/>
          <w:szCs w:val="32"/>
          <w:lang w:val="en-US" w:eastAsia="zh-CN"/>
        </w:rPr>
        <w:t>4．新技术产品的全生命周期技术标准应齐备完善（含技术标准、典型设计、技术规范书、运维规程、作业标准等）。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仿宋" w:hAnsi="仿宋" w:cs="仿宋"/>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BA56E7"/>
    <w:multiLevelType w:val="singleLevel"/>
    <w:tmpl w:val="53BA56E7"/>
    <w:lvl w:ilvl="0" w:tentative="0">
      <w:start w:val="1"/>
      <w:numFmt w:val="chineseCounting"/>
      <w:suff w:val="nothing"/>
      <w:lvlText w:val="（%1）"/>
      <w:lvlJc w:val="left"/>
      <w:rPr>
        <w:rFonts w:hint="eastAsia"/>
      </w:rPr>
    </w:lvl>
  </w:abstractNum>
  <w:abstractNum w:abstractNumId="1">
    <w:nsid w:val="7530D6E1"/>
    <w:multiLevelType w:val="singleLevel"/>
    <w:tmpl w:val="7530D6E1"/>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kNjhiMTY3YjQwNjEyZDA0ODliODkxMGRmZTAwNDEifQ=="/>
  </w:docVars>
  <w:rsids>
    <w:rsidRoot w:val="13E80D2C"/>
    <w:rsid w:val="007867EF"/>
    <w:rsid w:val="01D92FDA"/>
    <w:rsid w:val="02B114AD"/>
    <w:rsid w:val="02E4164F"/>
    <w:rsid w:val="07F733B0"/>
    <w:rsid w:val="0A8305A2"/>
    <w:rsid w:val="0B7F6CE2"/>
    <w:rsid w:val="0E4341C7"/>
    <w:rsid w:val="0EC11854"/>
    <w:rsid w:val="0ED6529E"/>
    <w:rsid w:val="0ED96B1A"/>
    <w:rsid w:val="10654B09"/>
    <w:rsid w:val="13387184"/>
    <w:rsid w:val="13E80D2C"/>
    <w:rsid w:val="15D63DC9"/>
    <w:rsid w:val="16A51251"/>
    <w:rsid w:val="1A1616E2"/>
    <w:rsid w:val="1ACF1D84"/>
    <w:rsid w:val="1AD07C7F"/>
    <w:rsid w:val="1DDF45E7"/>
    <w:rsid w:val="21585FC4"/>
    <w:rsid w:val="22EA1B3B"/>
    <w:rsid w:val="24CC67BB"/>
    <w:rsid w:val="255C6A35"/>
    <w:rsid w:val="25F71CE2"/>
    <w:rsid w:val="266C0DEE"/>
    <w:rsid w:val="29EF0D58"/>
    <w:rsid w:val="2CF91D38"/>
    <w:rsid w:val="3276154B"/>
    <w:rsid w:val="38EC7CF6"/>
    <w:rsid w:val="3A4803B5"/>
    <w:rsid w:val="3ADC6F09"/>
    <w:rsid w:val="3CC7192C"/>
    <w:rsid w:val="3D2D6854"/>
    <w:rsid w:val="3EAB1E08"/>
    <w:rsid w:val="3F855E32"/>
    <w:rsid w:val="402F7480"/>
    <w:rsid w:val="41513996"/>
    <w:rsid w:val="4174097B"/>
    <w:rsid w:val="41AA39C1"/>
    <w:rsid w:val="45FA34EB"/>
    <w:rsid w:val="46115F70"/>
    <w:rsid w:val="46160907"/>
    <w:rsid w:val="472F64E0"/>
    <w:rsid w:val="47D27AF6"/>
    <w:rsid w:val="49AB2AE7"/>
    <w:rsid w:val="4E645E00"/>
    <w:rsid w:val="5177128E"/>
    <w:rsid w:val="52E141D6"/>
    <w:rsid w:val="55627360"/>
    <w:rsid w:val="573818BD"/>
    <w:rsid w:val="596D6420"/>
    <w:rsid w:val="5F360BD6"/>
    <w:rsid w:val="620444E4"/>
    <w:rsid w:val="621F41B9"/>
    <w:rsid w:val="638E2378"/>
    <w:rsid w:val="648B2C26"/>
    <w:rsid w:val="679F10B6"/>
    <w:rsid w:val="68042900"/>
    <w:rsid w:val="688E7615"/>
    <w:rsid w:val="6B513D15"/>
    <w:rsid w:val="6BA71D81"/>
    <w:rsid w:val="6E3B0989"/>
    <w:rsid w:val="70AC4064"/>
    <w:rsid w:val="72DF7D38"/>
    <w:rsid w:val="73CA3C76"/>
    <w:rsid w:val="75EF4F1B"/>
    <w:rsid w:val="79C97153"/>
    <w:rsid w:val="7ABF0D10"/>
    <w:rsid w:val="7BB7631A"/>
    <w:rsid w:val="7D233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 w:asciiTheme="minorAscii" w:hAnsiTheme="minorAscii" w:cstheme="minorBidi"/>
      <w:kern w:val="2"/>
      <w:sz w:val="32"/>
      <w:szCs w:val="24"/>
      <w:lang w:val="en-US" w:eastAsia="zh-CN" w:bidi="ar-SA"/>
    </w:rPr>
  </w:style>
  <w:style w:type="paragraph" w:styleId="4">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5">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next w:val="3"/>
    <w:qFormat/>
    <w:uiPriority w:val="0"/>
    <w:pPr>
      <w:widowControl/>
      <w:adjustRightInd w:val="0"/>
      <w:snapToGrid w:val="0"/>
      <w:spacing w:before="240" w:after="60" w:line="560" w:lineRule="exact"/>
      <w:jc w:val="left"/>
      <w:outlineLvl w:val="0"/>
    </w:pPr>
    <w:rPr>
      <w:rFonts w:ascii="仿宋_GB2312" w:hAnsi="Calibri" w:eastAsia="仿宋_GB2312" w:cs="Times New Roman"/>
      <w:b/>
      <w:bCs/>
      <w:color w:val="FF0000"/>
      <w:spacing w:val="-3"/>
      <w:kern w:val="0"/>
      <w:sz w:val="24"/>
      <w:szCs w:val="32"/>
      <w:lang w:val="en-US" w:eastAsia="zh-CN" w:bidi="ar-SA"/>
    </w:rPr>
  </w:style>
  <w:style w:type="paragraph" w:styleId="3">
    <w:name w:val="Title"/>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lang w:val="en-US" w:eastAsia="zh-CN" w:bidi="ar-SA"/>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1">
    <w:name w:val="Strong"/>
    <w:basedOn w:val="10"/>
    <w:qFormat/>
    <w:uiPriority w:val="0"/>
    <w:rPr>
      <w:b/>
    </w:rPr>
  </w:style>
  <w:style w:type="character" w:styleId="12">
    <w:name w:val="Hyperlink"/>
    <w:basedOn w:val="10"/>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2620</Words>
  <Characters>2659</Characters>
  <Lines>0</Lines>
  <Paragraphs>0</Paragraphs>
  <TotalTime>1</TotalTime>
  <ScaleCrop>false</ScaleCrop>
  <LinksUpToDate>false</LinksUpToDate>
  <CharactersWithSpaces>2661</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2021-03-21T03:57:00Z</dcterms:created>
  <dc:creator>罗炜</dc:creator>
  <cp:lastModifiedBy>刘桓瑞</cp:lastModifiedBy>
  <dcterms:modified xsi:type="dcterms:W3CDTF">2022-05-30T02:20:58Z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3182D52CA58E4A80A73AA1BF89515309</vt:lpwstr>
  </property>
</Properties>
</file>